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04E" w:rsidRDefault="00F9304E" w:rsidP="00F9304E">
      <w:pPr>
        <w:pStyle w:val="2"/>
        <w:spacing w:line="240" w:lineRule="auto"/>
        <w:ind w:left="720" w:firstLine="709"/>
        <w:jc w:val="center"/>
        <w:rPr>
          <w:b/>
          <w:bCs/>
        </w:rPr>
      </w:pPr>
      <w:r>
        <w:rPr>
          <w:b/>
          <w:bCs/>
        </w:rPr>
        <w:t>Машинный эксперимент расчета и нормирования рисков производителя услуг и пациента</w:t>
      </w:r>
    </w:p>
    <w:p w:rsidR="00F9304E" w:rsidRDefault="00F9304E" w:rsidP="00F9304E">
      <w:pPr>
        <w:pStyle w:val="2"/>
        <w:spacing w:line="240" w:lineRule="auto"/>
        <w:ind w:firstLine="709"/>
        <w:jc w:val="center"/>
        <w:rPr>
          <w:bCs/>
        </w:rPr>
      </w:pPr>
    </w:p>
    <w:p w:rsidR="00F9304E" w:rsidRDefault="00F9304E" w:rsidP="00F9304E">
      <w:pPr>
        <w:pStyle w:val="2"/>
        <w:spacing w:line="240" w:lineRule="auto"/>
        <w:ind w:firstLine="709"/>
        <w:jc w:val="both"/>
        <w:rPr>
          <w:bCs/>
        </w:rPr>
      </w:pPr>
      <w:r>
        <w:rPr>
          <w:bCs/>
        </w:rPr>
        <w:t xml:space="preserve">Задача настоящего машинного эксперимента состоит в разработке практических рекомендаций по нормированию и прогнозированию рисков пациента и лечебного учреждения на примере кардиологического отделения. Практические рекомендации планируется разработать путем использования </w:t>
      </w:r>
      <w:proofErr w:type="gramStart"/>
      <w:r>
        <w:rPr>
          <w:bCs/>
        </w:rPr>
        <w:t>математических и имитационных моделей</w:t>
      </w:r>
      <w:proofErr w:type="gramEnd"/>
      <w:r>
        <w:rPr>
          <w:bCs/>
        </w:rPr>
        <w:t xml:space="preserve"> разработанных в третьем разделе работы и экспериментальных данных подраздела 4.1.  </w:t>
      </w:r>
    </w:p>
    <w:p w:rsidR="00F9304E" w:rsidRDefault="00F9304E" w:rsidP="00F9304E">
      <w:pPr>
        <w:pStyle w:val="2"/>
        <w:spacing w:line="240" w:lineRule="auto"/>
        <w:ind w:firstLine="709"/>
        <w:jc w:val="both"/>
        <w:rPr>
          <w:bCs/>
        </w:rPr>
      </w:pPr>
      <w:r>
        <w:rPr>
          <w:bCs/>
        </w:rPr>
        <w:t xml:space="preserve">Первым этапом машинного эксперимента ставится задача исследования общих закономерностей изменения </w:t>
      </w:r>
      <w:proofErr w:type="spellStart"/>
      <w:r>
        <w:rPr>
          <w:bCs/>
        </w:rPr>
        <w:t>Рлб</w:t>
      </w:r>
      <w:proofErr w:type="spellEnd"/>
      <w:r>
        <w:rPr>
          <w:bCs/>
        </w:rPr>
        <w:t xml:space="preserve"> и </w:t>
      </w:r>
      <w:proofErr w:type="spellStart"/>
      <w:r>
        <w:rPr>
          <w:bCs/>
        </w:rPr>
        <w:t>Рнб</w:t>
      </w:r>
      <w:proofErr w:type="spellEnd"/>
      <w:r>
        <w:rPr>
          <w:bCs/>
        </w:rPr>
        <w:t xml:space="preserve"> при вариациях статистических характеристик, как при детерминированных значениях норматива, так и при случайных. Расчет произведем на примере </w:t>
      </w:r>
      <w:proofErr w:type="spellStart"/>
      <w:r>
        <w:rPr>
          <w:bCs/>
        </w:rPr>
        <w:t>систалического</w:t>
      </w:r>
      <w:proofErr w:type="spellEnd"/>
      <w:r>
        <w:rPr>
          <w:bCs/>
        </w:rPr>
        <w:t xml:space="preserve"> давления больного, которое, как следует из предыдущих исследований, имеет достаточно большую вариацию. Временные реализации данного параметра в графической форме демонстрируются рисунком 4.1. Рассматривается случай ограничения параметра как сверху, </w:t>
      </w:r>
      <w:proofErr w:type="gramStart"/>
      <w:r>
        <w:rPr>
          <w:bCs/>
        </w:rPr>
        <w:t>так  и</w:t>
      </w:r>
      <w:proofErr w:type="gramEnd"/>
      <w:r>
        <w:rPr>
          <w:bCs/>
        </w:rPr>
        <w:t xml:space="preserve"> снизу (допусковый контроль). Влияние погрешности на результат оценивалось в виде отношения </w:t>
      </w:r>
      <w:r>
        <w:rPr>
          <w:bCs/>
          <w:sz w:val="40"/>
        </w:rPr>
        <w:t>(</w:t>
      </w:r>
      <w:proofErr w:type="spellStart"/>
      <w:r>
        <w:rPr>
          <w:bCs/>
          <w:sz w:val="40"/>
        </w:rPr>
        <w:t>σ</w:t>
      </w:r>
      <w:r>
        <w:rPr>
          <w:bCs/>
          <w:sz w:val="24"/>
        </w:rPr>
        <w:t>φ</w:t>
      </w:r>
      <w:proofErr w:type="spellEnd"/>
      <w:r>
        <w:rPr>
          <w:bCs/>
          <w:sz w:val="24"/>
        </w:rPr>
        <w:t>/</w:t>
      </w:r>
      <w:r>
        <w:rPr>
          <w:bCs/>
          <w:sz w:val="40"/>
        </w:rPr>
        <w:t>σ</w:t>
      </w:r>
      <w:r>
        <w:rPr>
          <w:bCs/>
          <w:sz w:val="24"/>
          <w:lang w:val="en-US"/>
        </w:rPr>
        <w:t>s</w:t>
      </w:r>
      <w:r>
        <w:rPr>
          <w:bCs/>
          <w:sz w:val="24"/>
        </w:rPr>
        <w:t xml:space="preserve">). </w:t>
      </w:r>
      <w:r>
        <w:rPr>
          <w:bCs/>
        </w:rPr>
        <w:t xml:space="preserve">Это отношение изменялось в диапазоне от 0.1 до 1.0 при разных значениях нормативов давления: </w:t>
      </w:r>
      <w:r>
        <w:rPr>
          <w:bCs/>
          <w:lang w:val="en-US"/>
        </w:rPr>
        <w:t>S</w:t>
      </w:r>
      <w:proofErr w:type="spellStart"/>
      <w:r>
        <w:rPr>
          <w:bCs/>
        </w:rPr>
        <w:t>пн</w:t>
      </w:r>
      <w:proofErr w:type="spellEnd"/>
      <w:r>
        <w:rPr>
          <w:bCs/>
        </w:rPr>
        <w:t xml:space="preserve"> = </w:t>
      </w:r>
      <w:r>
        <w:rPr>
          <w:bCs/>
          <w:lang w:val="en-US"/>
        </w:rPr>
        <w:t>S</w:t>
      </w:r>
      <w:r>
        <w:rPr>
          <w:bCs/>
        </w:rPr>
        <w:t>ср-</w:t>
      </w:r>
      <w:r>
        <w:rPr>
          <w:bCs/>
          <w:sz w:val="40"/>
        </w:rPr>
        <w:t xml:space="preserve"> σ</w:t>
      </w:r>
      <w:r>
        <w:rPr>
          <w:bCs/>
          <w:sz w:val="24"/>
          <w:lang w:val="en-US"/>
        </w:rPr>
        <w:t>s</w:t>
      </w:r>
      <w:r>
        <w:rPr>
          <w:bCs/>
          <w:sz w:val="24"/>
        </w:rPr>
        <w:t xml:space="preserve">, </w:t>
      </w:r>
      <w:r>
        <w:rPr>
          <w:bCs/>
          <w:lang w:val="en-US"/>
        </w:rPr>
        <w:t>S</w:t>
      </w:r>
      <w:proofErr w:type="spellStart"/>
      <w:r>
        <w:rPr>
          <w:bCs/>
        </w:rPr>
        <w:t>пв</w:t>
      </w:r>
      <w:proofErr w:type="spellEnd"/>
      <w:r>
        <w:rPr>
          <w:bCs/>
        </w:rPr>
        <w:t>=+</w:t>
      </w:r>
      <w:r>
        <w:rPr>
          <w:bCs/>
          <w:sz w:val="40"/>
        </w:rPr>
        <w:t>σ</w:t>
      </w:r>
      <w:r>
        <w:rPr>
          <w:bCs/>
          <w:sz w:val="24"/>
          <w:lang w:val="en-US"/>
        </w:rPr>
        <w:t>s</w:t>
      </w:r>
      <w:r>
        <w:rPr>
          <w:bCs/>
          <w:sz w:val="24"/>
        </w:rPr>
        <w:t>;</w:t>
      </w:r>
      <w:r>
        <w:rPr>
          <w:bCs/>
        </w:rPr>
        <w:t xml:space="preserve"> </w:t>
      </w:r>
      <w:r>
        <w:rPr>
          <w:bCs/>
          <w:lang w:val="en-US"/>
        </w:rPr>
        <w:t>S</w:t>
      </w:r>
      <w:proofErr w:type="spellStart"/>
      <w:r>
        <w:rPr>
          <w:bCs/>
        </w:rPr>
        <w:t>пн</w:t>
      </w:r>
      <w:proofErr w:type="spellEnd"/>
      <w:r>
        <w:rPr>
          <w:bCs/>
        </w:rPr>
        <w:t xml:space="preserve"> = </w:t>
      </w:r>
      <w:r>
        <w:rPr>
          <w:bCs/>
          <w:lang w:val="en-US"/>
        </w:rPr>
        <w:t>S</w:t>
      </w:r>
      <w:r>
        <w:rPr>
          <w:bCs/>
        </w:rPr>
        <w:t>ср-</w:t>
      </w:r>
      <w:r>
        <w:rPr>
          <w:bCs/>
          <w:sz w:val="40"/>
        </w:rPr>
        <w:t xml:space="preserve"> </w:t>
      </w:r>
      <w:r>
        <w:rPr>
          <w:bCs/>
        </w:rPr>
        <w:t>2</w:t>
      </w:r>
      <w:r>
        <w:rPr>
          <w:bCs/>
          <w:sz w:val="40"/>
        </w:rPr>
        <w:t>σ</w:t>
      </w:r>
      <w:r>
        <w:rPr>
          <w:bCs/>
          <w:sz w:val="24"/>
          <w:lang w:val="en-US"/>
        </w:rPr>
        <w:t>s</w:t>
      </w:r>
      <w:r>
        <w:rPr>
          <w:bCs/>
          <w:sz w:val="24"/>
        </w:rPr>
        <w:t xml:space="preserve">, </w:t>
      </w:r>
      <w:r>
        <w:rPr>
          <w:bCs/>
          <w:lang w:val="en-US"/>
        </w:rPr>
        <w:t>S</w:t>
      </w:r>
      <w:proofErr w:type="spellStart"/>
      <w:r>
        <w:rPr>
          <w:bCs/>
        </w:rPr>
        <w:t>пв</w:t>
      </w:r>
      <w:proofErr w:type="spellEnd"/>
      <w:r>
        <w:rPr>
          <w:bCs/>
        </w:rPr>
        <w:t>=+2</w:t>
      </w:r>
      <w:r>
        <w:rPr>
          <w:bCs/>
          <w:sz w:val="40"/>
        </w:rPr>
        <w:t>σ</w:t>
      </w:r>
      <w:proofErr w:type="gramStart"/>
      <w:r>
        <w:rPr>
          <w:bCs/>
          <w:sz w:val="24"/>
          <w:lang w:val="en-US"/>
        </w:rPr>
        <w:t>s</w:t>
      </w:r>
      <w:r>
        <w:rPr>
          <w:bCs/>
          <w:sz w:val="24"/>
        </w:rPr>
        <w:t xml:space="preserve">;   </w:t>
      </w:r>
      <w:proofErr w:type="gramEnd"/>
      <w:r>
        <w:rPr>
          <w:bCs/>
          <w:sz w:val="24"/>
        </w:rPr>
        <w:t xml:space="preserve">          </w:t>
      </w:r>
      <w:r>
        <w:rPr>
          <w:bCs/>
          <w:lang w:val="en-US"/>
        </w:rPr>
        <w:t>S</w:t>
      </w:r>
      <w:proofErr w:type="spellStart"/>
      <w:r>
        <w:rPr>
          <w:bCs/>
        </w:rPr>
        <w:t>пн</w:t>
      </w:r>
      <w:proofErr w:type="spellEnd"/>
      <w:r>
        <w:rPr>
          <w:bCs/>
        </w:rPr>
        <w:t xml:space="preserve"> = </w:t>
      </w:r>
      <w:r>
        <w:rPr>
          <w:bCs/>
          <w:lang w:val="en-US"/>
        </w:rPr>
        <w:t>S</w:t>
      </w:r>
      <w:r>
        <w:rPr>
          <w:bCs/>
        </w:rPr>
        <w:t>ср-</w:t>
      </w:r>
      <w:r>
        <w:rPr>
          <w:bCs/>
          <w:sz w:val="40"/>
        </w:rPr>
        <w:t xml:space="preserve"> </w:t>
      </w:r>
      <w:r>
        <w:rPr>
          <w:bCs/>
        </w:rPr>
        <w:t>3</w:t>
      </w:r>
      <w:r>
        <w:rPr>
          <w:bCs/>
          <w:sz w:val="40"/>
        </w:rPr>
        <w:t>σ</w:t>
      </w:r>
      <w:r>
        <w:rPr>
          <w:bCs/>
          <w:sz w:val="24"/>
          <w:lang w:val="en-US"/>
        </w:rPr>
        <w:t>s</w:t>
      </w:r>
      <w:r>
        <w:rPr>
          <w:bCs/>
          <w:sz w:val="24"/>
        </w:rPr>
        <w:t xml:space="preserve">, </w:t>
      </w:r>
      <w:r>
        <w:rPr>
          <w:bCs/>
          <w:lang w:val="en-US"/>
        </w:rPr>
        <w:t>S</w:t>
      </w:r>
      <w:proofErr w:type="spellStart"/>
      <w:r>
        <w:rPr>
          <w:bCs/>
        </w:rPr>
        <w:t>пв</w:t>
      </w:r>
      <w:proofErr w:type="spellEnd"/>
      <w:r>
        <w:rPr>
          <w:bCs/>
        </w:rPr>
        <w:t>=+3</w:t>
      </w:r>
      <w:r>
        <w:rPr>
          <w:bCs/>
          <w:sz w:val="40"/>
        </w:rPr>
        <w:t>σ</w:t>
      </w:r>
      <w:r>
        <w:rPr>
          <w:bCs/>
          <w:sz w:val="24"/>
          <w:lang w:val="en-US"/>
        </w:rPr>
        <w:t>s</w:t>
      </w:r>
      <w:r>
        <w:rPr>
          <w:bCs/>
        </w:rPr>
        <w:t xml:space="preserve">. В «легенде» рисунков эти нормативы </w:t>
      </w:r>
      <w:proofErr w:type="gramStart"/>
      <w:r>
        <w:rPr>
          <w:bCs/>
        </w:rPr>
        <w:t>обозначены,  как</w:t>
      </w:r>
      <w:proofErr w:type="gramEnd"/>
      <w:r>
        <w:rPr>
          <w:bCs/>
        </w:rPr>
        <w:t xml:space="preserve"> 1,2,3 соответственно. Причем, влияние нормативов на величину рисков оценивалось в двух вариантах: первый вариант </w:t>
      </w:r>
      <w:r>
        <w:rPr>
          <w:bCs/>
          <w:lang w:val="en-US"/>
        </w:rPr>
        <w:t>S</w:t>
      </w:r>
      <w:proofErr w:type="spellStart"/>
      <w:r>
        <w:rPr>
          <w:bCs/>
        </w:rPr>
        <w:t>пн</w:t>
      </w:r>
      <w:proofErr w:type="spellEnd"/>
      <w:r>
        <w:rPr>
          <w:bCs/>
        </w:rPr>
        <w:t xml:space="preserve"> и </w:t>
      </w:r>
      <w:r>
        <w:rPr>
          <w:bCs/>
          <w:lang w:val="en-US"/>
        </w:rPr>
        <w:t>S</w:t>
      </w:r>
      <w:proofErr w:type="spellStart"/>
      <w:r>
        <w:rPr>
          <w:bCs/>
        </w:rPr>
        <w:t>пв</w:t>
      </w:r>
      <w:proofErr w:type="spellEnd"/>
      <w:r>
        <w:rPr>
          <w:bCs/>
        </w:rPr>
        <w:t xml:space="preserve">- величины неслучайные (детерминированные); второй вариант нормативы величины случайные. 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>
        <w:rPr>
          <w:bCs/>
          <w:szCs w:val="28"/>
        </w:rPr>
        <w:t>На рисунке 2</w:t>
      </w:r>
      <w:r w:rsidRPr="00040C68">
        <w:rPr>
          <w:bCs/>
          <w:szCs w:val="28"/>
        </w:rPr>
        <w:t>.</w:t>
      </w:r>
      <w:r>
        <w:rPr>
          <w:bCs/>
          <w:szCs w:val="28"/>
        </w:rPr>
        <w:t>4</w:t>
      </w:r>
      <w:r w:rsidRPr="00040C68">
        <w:rPr>
          <w:bCs/>
          <w:szCs w:val="28"/>
        </w:rPr>
        <w:t xml:space="preserve"> и </w:t>
      </w:r>
      <w:r>
        <w:rPr>
          <w:bCs/>
          <w:szCs w:val="28"/>
        </w:rPr>
        <w:t>2</w:t>
      </w:r>
      <w:r w:rsidRPr="00040C68">
        <w:rPr>
          <w:bCs/>
          <w:szCs w:val="28"/>
        </w:rPr>
        <w:t>.</w:t>
      </w:r>
      <w:r>
        <w:rPr>
          <w:bCs/>
          <w:szCs w:val="28"/>
        </w:rPr>
        <w:t>5</w:t>
      </w:r>
      <w:r w:rsidRPr="00040C68">
        <w:rPr>
          <w:bCs/>
          <w:szCs w:val="28"/>
        </w:rPr>
        <w:t xml:space="preserve"> представлены результаты моделирования детерминированного случая нормативов, где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 xml:space="preserve"> и </w:t>
      </w:r>
      <w:proofErr w:type="spellStart"/>
      <w:r w:rsidRPr="00040C68">
        <w:rPr>
          <w:bCs/>
          <w:szCs w:val="28"/>
        </w:rPr>
        <w:t>Рлб</w:t>
      </w:r>
      <w:proofErr w:type="spellEnd"/>
      <w:r w:rsidRPr="00040C68">
        <w:rPr>
          <w:bCs/>
          <w:szCs w:val="28"/>
        </w:rPr>
        <w:t xml:space="preserve"> являются осями ординат, а относительная погрешность </w:t>
      </w:r>
      <w:proofErr w:type="spellStart"/>
      <w:r w:rsidRPr="00040C68">
        <w:rPr>
          <w:bCs/>
          <w:szCs w:val="28"/>
        </w:rPr>
        <w:t>σφ</w:t>
      </w:r>
      <w:proofErr w:type="spellEnd"/>
      <w:r w:rsidRPr="00040C68">
        <w:rPr>
          <w:bCs/>
          <w:szCs w:val="28"/>
        </w:rPr>
        <w:t>/σ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 xml:space="preserve"> -осью абсцисс. </w:t>
      </w:r>
    </w:p>
    <w:p w:rsidR="00F9304E" w:rsidRPr="00040C68" w:rsidRDefault="00F9304E" w:rsidP="00F9304E">
      <w:pPr>
        <w:ind w:firstLine="709"/>
        <w:jc w:val="both"/>
      </w:pPr>
      <w:r w:rsidRPr="00040C68">
        <w:t xml:space="preserve">                        </w:t>
      </w:r>
      <w:r w:rsidRPr="00040C68">
        <w:rPr>
          <w:noProof/>
          <w:lang w:eastAsia="ru-RU"/>
        </w:rPr>
        <w:drawing>
          <wp:inline distT="0" distB="0" distL="0" distR="0">
            <wp:extent cx="5034915" cy="2647950"/>
            <wp:effectExtent l="0" t="0" r="0" b="0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pStyle w:val="a3"/>
        <w:ind w:firstLine="709"/>
        <w:jc w:val="both"/>
        <w:rPr>
          <w:sz w:val="28"/>
          <w:szCs w:val="28"/>
        </w:rPr>
      </w:pPr>
      <w:r w:rsidRPr="00040C68">
        <w:rPr>
          <w:sz w:val="28"/>
          <w:szCs w:val="28"/>
        </w:rPr>
        <w:lastRenderedPageBreak/>
        <w:t xml:space="preserve">Рисунок </w:t>
      </w:r>
      <w:r>
        <w:rPr>
          <w:sz w:val="28"/>
          <w:szCs w:val="28"/>
        </w:rPr>
        <w:t>2</w:t>
      </w:r>
      <w:r w:rsidRPr="00040C68">
        <w:rPr>
          <w:sz w:val="28"/>
          <w:szCs w:val="28"/>
        </w:rPr>
        <w:t>.</w:t>
      </w:r>
      <w:r>
        <w:rPr>
          <w:sz w:val="28"/>
          <w:szCs w:val="28"/>
        </w:rPr>
        <w:t>4 -</w:t>
      </w:r>
      <w:r w:rsidRPr="00040C68">
        <w:rPr>
          <w:sz w:val="28"/>
          <w:szCs w:val="28"/>
        </w:rPr>
        <w:t xml:space="preserve"> Результат машинного моделирования для детерминированных нормативах (вероятность </w:t>
      </w:r>
      <w:proofErr w:type="spellStart"/>
      <w:r w:rsidRPr="00040C68">
        <w:rPr>
          <w:sz w:val="28"/>
          <w:szCs w:val="28"/>
        </w:rPr>
        <w:t>Рлб</w:t>
      </w:r>
      <w:proofErr w:type="spellEnd"/>
      <w:r w:rsidRPr="00040C68">
        <w:rPr>
          <w:sz w:val="28"/>
          <w:szCs w:val="28"/>
        </w:rPr>
        <w:t>)</w:t>
      </w:r>
    </w:p>
    <w:p w:rsidR="00F9304E" w:rsidRPr="00040C68" w:rsidRDefault="00F9304E" w:rsidP="00F9304E">
      <w:pPr>
        <w:pStyle w:val="a3"/>
        <w:ind w:firstLine="709"/>
        <w:jc w:val="both"/>
        <w:rPr>
          <w:sz w:val="28"/>
          <w:szCs w:val="28"/>
        </w:rPr>
      </w:pPr>
    </w:p>
    <w:p w:rsidR="00F9304E" w:rsidRPr="00040C68" w:rsidRDefault="00F9304E" w:rsidP="00F9304E">
      <w:pPr>
        <w:ind w:firstLine="709"/>
        <w:jc w:val="both"/>
      </w:pPr>
      <w:r w:rsidRPr="00040C68">
        <w:rPr>
          <w:noProof/>
          <w:lang w:eastAsia="ru-RU"/>
        </w:rPr>
        <w:drawing>
          <wp:inline distT="0" distB="0" distL="0" distR="0">
            <wp:extent cx="4584065" cy="2707640"/>
            <wp:effectExtent l="0" t="0" r="0" b="0"/>
            <wp:docPr id="7" name="Диаграмма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Рисунок 2</w:t>
      </w:r>
      <w:r w:rsidRPr="00040C68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Pr="00040C68">
        <w:rPr>
          <w:sz w:val="28"/>
          <w:szCs w:val="28"/>
        </w:rPr>
        <w:t xml:space="preserve"> - Результат машинного моделирования для детерминированных нормативах (вероятность </w:t>
      </w:r>
      <w:proofErr w:type="spellStart"/>
      <w:r w:rsidRPr="00040C68">
        <w:rPr>
          <w:sz w:val="28"/>
          <w:szCs w:val="28"/>
        </w:rPr>
        <w:t>Рнб</w:t>
      </w:r>
      <w:proofErr w:type="spellEnd"/>
      <w:r w:rsidRPr="00040C68">
        <w:rPr>
          <w:sz w:val="28"/>
          <w:szCs w:val="28"/>
        </w:rPr>
        <w:t>)</w:t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>Как следуют из результатов машинного экспериме</w:t>
      </w:r>
      <w:r>
        <w:rPr>
          <w:bCs/>
          <w:szCs w:val="28"/>
        </w:rPr>
        <w:t>нта, представленного рисунками 2</w:t>
      </w:r>
      <w:r w:rsidRPr="00040C68">
        <w:rPr>
          <w:bCs/>
          <w:szCs w:val="28"/>
        </w:rPr>
        <w:t>.</w:t>
      </w:r>
      <w:r>
        <w:rPr>
          <w:bCs/>
          <w:szCs w:val="28"/>
        </w:rPr>
        <w:t>4</w:t>
      </w:r>
      <w:r w:rsidRPr="00040C68">
        <w:rPr>
          <w:bCs/>
          <w:szCs w:val="28"/>
        </w:rPr>
        <w:t xml:space="preserve"> и </w:t>
      </w:r>
      <w:r>
        <w:rPr>
          <w:bCs/>
          <w:szCs w:val="28"/>
        </w:rPr>
        <w:t>2</w:t>
      </w:r>
      <w:r w:rsidRPr="00040C68">
        <w:rPr>
          <w:bCs/>
          <w:szCs w:val="28"/>
        </w:rPr>
        <w:t>.</w:t>
      </w:r>
      <w:r>
        <w:rPr>
          <w:bCs/>
          <w:szCs w:val="28"/>
        </w:rPr>
        <w:t>5</w:t>
      </w:r>
      <w:r w:rsidRPr="00040C68">
        <w:rPr>
          <w:bCs/>
          <w:szCs w:val="28"/>
        </w:rPr>
        <w:t xml:space="preserve">, наибольшему влиянию подвержена вероятность ложного брака </w:t>
      </w:r>
      <w:proofErr w:type="spellStart"/>
      <w:r w:rsidRPr="00040C68">
        <w:rPr>
          <w:bCs/>
          <w:szCs w:val="28"/>
        </w:rPr>
        <w:t>Рлб</w:t>
      </w:r>
      <w:proofErr w:type="spellEnd"/>
      <w:r w:rsidRPr="00040C68">
        <w:rPr>
          <w:bCs/>
          <w:szCs w:val="28"/>
        </w:rPr>
        <w:t xml:space="preserve">. При значении погрешности измерения </w:t>
      </w:r>
      <w:proofErr w:type="spellStart"/>
      <w:r w:rsidRPr="00040C68">
        <w:rPr>
          <w:bCs/>
          <w:szCs w:val="28"/>
        </w:rPr>
        <w:t>σφ</w:t>
      </w:r>
      <w:proofErr w:type="spellEnd"/>
      <w:r w:rsidRPr="00040C68">
        <w:rPr>
          <w:bCs/>
          <w:szCs w:val="28"/>
        </w:rPr>
        <w:t xml:space="preserve"> соизмеримой с величиной σ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 xml:space="preserve"> этот риск достигает 25%. При этом, как заметно из графиков, влияние вариации нормативов несколько выше, чем влияние погрешности. Визуальный анализ тенденций графических зависимостей   дает основание выдвинуть гипотезу о линейном характере данных связей, что делает возможным использовать графические материалы для прогнозирования в виде номограмм.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>Важным остается вопрос качественной декомпозиции данных результатов: на риск пациента и риск учреждения. «Ложный брак» в медицинской практике композиция из двух составляющих, одну из которых следует интерпретировать как случай, когда здорового пациента признают нездоровым, и вторая составляющая –потери, которые несет медицинское учреждение, назначая и выполняя лечебно-диагностические мероприятия по ложно принятому решению. Последствия указанных рисков в каждом случае принимаемого решения или диагноза будут иметь свою специфику и должны рассматривать по отдельной методике для конкретного заболевания.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Вероятность необнаруженного брака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 xml:space="preserve"> в отличие от </w:t>
      </w:r>
      <w:proofErr w:type="spellStart"/>
      <w:r w:rsidRPr="00040C68">
        <w:rPr>
          <w:bCs/>
          <w:szCs w:val="28"/>
        </w:rPr>
        <w:t>Рлб</w:t>
      </w:r>
      <w:proofErr w:type="spellEnd"/>
      <w:r w:rsidRPr="00040C68">
        <w:rPr>
          <w:bCs/>
          <w:szCs w:val="28"/>
        </w:rPr>
        <w:t xml:space="preserve"> имеет явно выраженное доминирующее </w:t>
      </w:r>
      <w:proofErr w:type="gramStart"/>
      <w:r w:rsidRPr="00040C68">
        <w:rPr>
          <w:bCs/>
          <w:szCs w:val="28"/>
        </w:rPr>
        <w:t>влияние  нормативной</w:t>
      </w:r>
      <w:proofErr w:type="gramEnd"/>
      <w:r w:rsidRPr="00040C68">
        <w:rPr>
          <w:bCs/>
          <w:szCs w:val="28"/>
        </w:rPr>
        <w:t xml:space="preserve"> состав</w:t>
      </w:r>
      <w:r>
        <w:rPr>
          <w:bCs/>
          <w:szCs w:val="28"/>
        </w:rPr>
        <w:t>ляющей. Как следует из графика 2</w:t>
      </w:r>
      <w:r w:rsidRPr="00040C68">
        <w:rPr>
          <w:bCs/>
          <w:szCs w:val="28"/>
        </w:rPr>
        <w:t>.</w:t>
      </w:r>
      <w:r>
        <w:rPr>
          <w:bCs/>
          <w:szCs w:val="28"/>
        </w:rPr>
        <w:t>5</w:t>
      </w:r>
      <w:r w:rsidRPr="00040C68">
        <w:rPr>
          <w:bCs/>
          <w:szCs w:val="28"/>
        </w:rPr>
        <w:t>,   при нормативах, превышающих 2σ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 xml:space="preserve">, </w:t>
      </w:r>
      <w:proofErr w:type="gramStart"/>
      <w:r w:rsidRPr="00040C68">
        <w:rPr>
          <w:bCs/>
          <w:szCs w:val="28"/>
        </w:rPr>
        <w:t>ошибка  слабо</w:t>
      </w:r>
      <w:proofErr w:type="gramEnd"/>
      <w:r w:rsidRPr="00040C68">
        <w:rPr>
          <w:bCs/>
          <w:szCs w:val="28"/>
        </w:rPr>
        <w:t xml:space="preserve"> зависит от погрешности и не превышает двух процентов. Этот факт имеет большое значение как для планирования технического и технологического </w:t>
      </w:r>
      <w:r w:rsidRPr="00040C68">
        <w:rPr>
          <w:bCs/>
          <w:szCs w:val="28"/>
        </w:rPr>
        <w:lastRenderedPageBreak/>
        <w:t xml:space="preserve">оснащения лечебно-диагностических учреждений, так и для планирования кадрового обеспечения. Вероятность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 xml:space="preserve"> в большей степени следует считать риском пациента. Потери, которые сопутствуют данному риску носят социальный характер, но имеют и экономическую составляющую.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На </w:t>
      </w:r>
      <w:r>
        <w:rPr>
          <w:bCs/>
          <w:szCs w:val="28"/>
        </w:rPr>
        <w:t>рисунках 2</w:t>
      </w:r>
      <w:r w:rsidRPr="00040C68">
        <w:rPr>
          <w:bCs/>
          <w:szCs w:val="28"/>
        </w:rPr>
        <w:t>.</w:t>
      </w:r>
      <w:r>
        <w:rPr>
          <w:bCs/>
          <w:szCs w:val="28"/>
        </w:rPr>
        <w:t>6</w:t>
      </w:r>
      <w:r w:rsidRPr="00040C68">
        <w:rPr>
          <w:bCs/>
          <w:szCs w:val="28"/>
        </w:rPr>
        <w:t xml:space="preserve"> и </w:t>
      </w:r>
      <w:r>
        <w:rPr>
          <w:bCs/>
          <w:szCs w:val="28"/>
        </w:rPr>
        <w:t>2</w:t>
      </w:r>
      <w:r w:rsidRPr="00040C68">
        <w:rPr>
          <w:bCs/>
          <w:szCs w:val="28"/>
        </w:rPr>
        <w:t>.</w:t>
      </w:r>
      <w:r>
        <w:rPr>
          <w:bCs/>
          <w:szCs w:val="28"/>
        </w:rPr>
        <w:t>7</w:t>
      </w:r>
      <w:r w:rsidRPr="00040C68">
        <w:rPr>
          <w:bCs/>
          <w:szCs w:val="28"/>
        </w:rPr>
        <w:t xml:space="preserve"> представлены варианты случайных </w:t>
      </w:r>
      <w:r w:rsidRPr="00040C68">
        <w:rPr>
          <w:bCs/>
          <w:szCs w:val="28"/>
          <w:lang w:val="en-US"/>
        </w:rPr>
        <w:t>S</w:t>
      </w:r>
      <w:proofErr w:type="spellStart"/>
      <w:r w:rsidRPr="00040C68">
        <w:rPr>
          <w:bCs/>
          <w:szCs w:val="28"/>
        </w:rPr>
        <w:t>пн</w:t>
      </w:r>
      <w:proofErr w:type="spellEnd"/>
      <w:r w:rsidRPr="00040C68">
        <w:rPr>
          <w:bCs/>
          <w:szCs w:val="28"/>
        </w:rPr>
        <w:t xml:space="preserve"> и </w:t>
      </w:r>
      <w:r w:rsidRPr="00040C68">
        <w:rPr>
          <w:bCs/>
          <w:szCs w:val="28"/>
          <w:lang w:val="en-US"/>
        </w:rPr>
        <w:t>S</w:t>
      </w:r>
      <w:proofErr w:type="spellStart"/>
      <w:r w:rsidRPr="00040C68">
        <w:rPr>
          <w:bCs/>
          <w:szCs w:val="28"/>
        </w:rPr>
        <w:t>пв</w:t>
      </w:r>
      <w:proofErr w:type="spellEnd"/>
      <w:r w:rsidRPr="00040C68">
        <w:rPr>
          <w:bCs/>
          <w:szCs w:val="28"/>
        </w:rPr>
        <w:t>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</w:p>
    <w:p w:rsidR="00F9304E" w:rsidRPr="00040C68" w:rsidRDefault="00F9304E" w:rsidP="00F9304E">
      <w:pPr>
        <w:ind w:firstLine="709"/>
        <w:jc w:val="both"/>
      </w:pPr>
      <w:r w:rsidRPr="00040C68">
        <w:rPr>
          <w:noProof/>
          <w:lang w:eastAsia="ru-RU"/>
        </w:rPr>
        <w:drawing>
          <wp:inline distT="0" distB="0" distL="0" distR="0">
            <wp:extent cx="4690745" cy="2482215"/>
            <wp:effectExtent l="0" t="0" r="0" b="0"/>
            <wp:docPr id="6" name="Диаграмма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9304E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t xml:space="preserve">Рисунок </w:t>
      </w:r>
      <w:r>
        <w:t>2</w:t>
      </w:r>
      <w:r w:rsidRPr="00040C68">
        <w:t>.</w:t>
      </w:r>
      <w:r>
        <w:t>6 -</w:t>
      </w:r>
      <w:r w:rsidRPr="00040C68">
        <w:t xml:space="preserve"> Вероятность </w:t>
      </w:r>
      <w:proofErr w:type="spellStart"/>
      <w:r w:rsidRPr="00040C68">
        <w:t>Рлб</w:t>
      </w:r>
      <w:proofErr w:type="spellEnd"/>
      <w:r w:rsidRPr="00040C68">
        <w:t xml:space="preserve"> (нормативы случайные </w:t>
      </w:r>
      <w:proofErr w:type="spellStart"/>
      <w:r w:rsidRPr="00040C68">
        <w:t>σпред</w:t>
      </w:r>
      <w:proofErr w:type="spellEnd"/>
      <w:r w:rsidRPr="00040C68">
        <w:t xml:space="preserve"> =0.1σ</w:t>
      </w:r>
      <w:r w:rsidRPr="00040C68">
        <w:rPr>
          <w:lang w:val="en-US"/>
        </w:rPr>
        <w:t>s</w:t>
      </w:r>
      <w:r w:rsidRPr="00040C68">
        <w:t>)</w:t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rPr>
          <w:noProof/>
          <w:lang w:eastAsia="ru-RU"/>
        </w:rPr>
        <w:drawing>
          <wp:inline distT="0" distB="0" distL="0" distR="0">
            <wp:extent cx="4809490" cy="2624455"/>
            <wp:effectExtent l="0" t="0" r="0" b="0"/>
            <wp:docPr id="5" name="Диаграмм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9304E" w:rsidRDefault="00F9304E" w:rsidP="00F9304E">
      <w:pPr>
        <w:ind w:firstLine="709"/>
        <w:jc w:val="both"/>
      </w:pPr>
      <w:r w:rsidRPr="00040C68">
        <w:t xml:space="preserve">            </w:t>
      </w:r>
    </w:p>
    <w:p w:rsidR="00F9304E" w:rsidRPr="00040C68" w:rsidRDefault="00F9304E" w:rsidP="00F9304E">
      <w:pPr>
        <w:ind w:firstLine="709"/>
        <w:jc w:val="both"/>
      </w:pPr>
      <w:r>
        <w:t>Рисунок 2</w:t>
      </w:r>
      <w:r w:rsidRPr="00040C68">
        <w:t>.</w:t>
      </w:r>
      <w:r>
        <w:t>7</w:t>
      </w:r>
      <w:r w:rsidRPr="00040C68">
        <w:t xml:space="preserve"> </w:t>
      </w:r>
      <w:r>
        <w:t xml:space="preserve">- </w:t>
      </w:r>
      <w:r w:rsidRPr="00040C68">
        <w:t xml:space="preserve">Вероятность </w:t>
      </w:r>
      <w:proofErr w:type="spellStart"/>
      <w:r w:rsidRPr="00040C68">
        <w:t>Рнб</w:t>
      </w:r>
      <w:proofErr w:type="spellEnd"/>
      <w:r w:rsidRPr="00040C68">
        <w:t xml:space="preserve"> (нормативы случайные </w:t>
      </w:r>
      <w:proofErr w:type="spellStart"/>
      <w:r w:rsidRPr="00040C68">
        <w:t>σпред</w:t>
      </w:r>
      <w:proofErr w:type="spellEnd"/>
      <w:r w:rsidRPr="00040C68">
        <w:t xml:space="preserve"> =0.1σ</w:t>
      </w:r>
      <w:r w:rsidRPr="00040C68">
        <w:rPr>
          <w:lang w:val="en-US"/>
        </w:rPr>
        <w:t>s</w:t>
      </w:r>
      <w:r w:rsidRPr="00040C68">
        <w:t>)</w:t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Оценивая влияние статистической природы нормативов на результат, путем сравнения с предыдущим вариантом, при незначительной вариации нормативов </w:t>
      </w:r>
      <w:proofErr w:type="spellStart"/>
      <w:r w:rsidRPr="00040C68">
        <w:rPr>
          <w:bCs/>
          <w:szCs w:val="28"/>
        </w:rPr>
        <w:t>σпред</w:t>
      </w:r>
      <w:proofErr w:type="spellEnd"/>
      <w:r w:rsidRPr="00040C68">
        <w:rPr>
          <w:bCs/>
          <w:szCs w:val="28"/>
        </w:rPr>
        <w:t xml:space="preserve"> =0.1σ</w:t>
      </w:r>
      <w:r w:rsidRPr="00040C68">
        <w:rPr>
          <w:bCs/>
          <w:szCs w:val="28"/>
          <w:lang w:val="en-US"/>
        </w:rPr>
        <w:t>s</w:t>
      </w:r>
      <w:r>
        <w:rPr>
          <w:bCs/>
          <w:szCs w:val="28"/>
        </w:rPr>
        <w:t xml:space="preserve"> (рис.2</w:t>
      </w:r>
      <w:r w:rsidRPr="00040C68">
        <w:rPr>
          <w:bCs/>
          <w:szCs w:val="28"/>
        </w:rPr>
        <w:t>.</w:t>
      </w:r>
      <w:r>
        <w:rPr>
          <w:bCs/>
          <w:szCs w:val="28"/>
        </w:rPr>
        <w:t>7</w:t>
      </w:r>
      <w:r w:rsidRPr="00040C68">
        <w:rPr>
          <w:bCs/>
          <w:szCs w:val="28"/>
        </w:rPr>
        <w:t xml:space="preserve">, </w:t>
      </w:r>
      <w:r>
        <w:rPr>
          <w:bCs/>
          <w:szCs w:val="28"/>
        </w:rPr>
        <w:t>2</w:t>
      </w:r>
      <w:r w:rsidRPr="00040C68">
        <w:rPr>
          <w:bCs/>
          <w:szCs w:val="28"/>
        </w:rPr>
        <w:t>.</w:t>
      </w:r>
      <w:r>
        <w:rPr>
          <w:bCs/>
          <w:szCs w:val="28"/>
        </w:rPr>
        <w:t>8</w:t>
      </w:r>
      <w:r w:rsidRPr="00040C68">
        <w:rPr>
          <w:bCs/>
          <w:szCs w:val="28"/>
        </w:rPr>
        <w:t xml:space="preserve">) следует отметить, что уровни вероятностей </w:t>
      </w:r>
      <w:proofErr w:type="spellStart"/>
      <w:r w:rsidRPr="00040C68">
        <w:rPr>
          <w:bCs/>
          <w:szCs w:val="28"/>
        </w:rPr>
        <w:t>Рлб</w:t>
      </w:r>
      <w:proofErr w:type="spellEnd"/>
      <w:r w:rsidRPr="00040C68">
        <w:rPr>
          <w:bCs/>
          <w:szCs w:val="28"/>
        </w:rPr>
        <w:t xml:space="preserve"> и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 xml:space="preserve"> существенно повысились. Поэтому, возникает интерес и необходимость исследовать влияние </w:t>
      </w:r>
      <w:proofErr w:type="gramStart"/>
      <w:r w:rsidRPr="00040C68">
        <w:rPr>
          <w:bCs/>
          <w:szCs w:val="28"/>
        </w:rPr>
        <w:t xml:space="preserve">вариабельности  </w:t>
      </w:r>
      <w:proofErr w:type="spellStart"/>
      <w:r w:rsidRPr="00040C68">
        <w:rPr>
          <w:bCs/>
          <w:szCs w:val="28"/>
        </w:rPr>
        <w:t>σ</w:t>
      </w:r>
      <w:proofErr w:type="gramEnd"/>
      <w:r w:rsidRPr="00C813EE">
        <w:rPr>
          <w:bCs/>
          <w:szCs w:val="28"/>
          <w:vertAlign w:val="subscript"/>
        </w:rPr>
        <w:t>пред</w:t>
      </w:r>
      <w:proofErr w:type="spellEnd"/>
      <w:r w:rsidRPr="00040C68">
        <w:rPr>
          <w:bCs/>
          <w:szCs w:val="28"/>
        </w:rPr>
        <w:t xml:space="preserve">  на величину вероятностей </w:t>
      </w:r>
      <w:proofErr w:type="spellStart"/>
      <w:r w:rsidRPr="00040C68">
        <w:rPr>
          <w:bCs/>
          <w:szCs w:val="28"/>
        </w:rPr>
        <w:t>Рлб</w:t>
      </w:r>
      <w:proofErr w:type="spellEnd"/>
      <w:r w:rsidRPr="00040C68">
        <w:rPr>
          <w:bCs/>
          <w:szCs w:val="28"/>
        </w:rPr>
        <w:t xml:space="preserve"> и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 xml:space="preserve">. Диапазон вариаций </w:t>
      </w:r>
      <w:proofErr w:type="spellStart"/>
      <w:r w:rsidRPr="00040C68">
        <w:rPr>
          <w:bCs/>
          <w:szCs w:val="28"/>
        </w:rPr>
        <w:t>σ</w:t>
      </w:r>
      <w:proofErr w:type="gramStart"/>
      <w:r w:rsidRPr="00C813EE">
        <w:rPr>
          <w:bCs/>
          <w:szCs w:val="28"/>
          <w:vertAlign w:val="subscript"/>
        </w:rPr>
        <w:t>пред</w:t>
      </w:r>
      <w:proofErr w:type="spellEnd"/>
      <w:r w:rsidRPr="00040C68">
        <w:rPr>
          <w:bCs/>
          <w:szCs w:val="28"/>
        </w:rPr>
        <w:t xml:space="preserve">  ограничим</w:t>
      </w:r>
      <w:proofErr w:type="gramEnd"/>
      <w:r w:rsidRPr="00040C68">
        <w:rPr>
          <w:bCs/>
          <w:szCs w:val="28"/>
        </w:rPr>
        <w:t xml:space="preserve"> в пределах до </w:t>
      </w:r>
      <w:proofErr w:type="spellStart"/>
      <w:r w:rsidRPr="00040C68">
        <w:rPr>
          <w:bCs/>
          <w:szCs w:val="28"/>
        </w:rPr>
        <w:t>σ</w:t>
      </w:r>
      <w:r w:rsidRPr="00C813EE">
        <w:rPr>
          <w:bCs/>
          <w:szCs w:val="28"/>
          <w:vertAlign w:val="subscript"/>
        </w:rPr>
        <w:t>пред</w:t>
      </w:r>
      <w:proofErr w:type="spellEnd"/>
      <w:r w:rsidRPr="00040C68">
        <w:rPr>
          <w:bCs/>
          <w:szCs w:val="28"/>
        </w:rPr>
        <w:t xml:space="preserve"> = σ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>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lastRenderedPageBreak/>
        <w:t xml:space="preserve">Результаты моделирования в графической форме представлены на рисунках </w:t>
      </w:r>
      <w:r>
        <w:rPr>
          <w:bCs/>
          <w:szCs w:val="28"/>
        </w:rPr>
        <w:t>2</w:t>
      </w:r>
      <w:r w:rsidRPr="00040C68">
        <w:rPr>
          <w:bCs/>
          <w:szCs w:val="28"/>
        </w:rPr>
        <w:t>.</w:t>
      </w:r>
      <w:r>
        <w:rPr>
          <w:bCs/>
          <w:szCs w:val="28"/>
        </w:rPr>
        <w:t>9</w:t>
      </w:r>
      <w:r w:rsidRPr="00040C68">
        <w:rPr>
          <w:bCs/>
          <w:szCs w:val="28"/>
        </w:rPr>
        <w:t xml:space="preserve"> –</w:t>
      </w:r>
      <w:r>
        <w:rPr>
          <w:bCs/>
          <w:szCs w:val="28"/>
        </w:rPr>
        <w:t>2</w:t>
      </w:r>
      <w:r w:rsidRPr="00040C68">
        <w:rPr>
          <w:bCs/>
          <w:szCs w:val="28"/>
        </w:rPr>
        <w:t>.1</w:t>
      </w:r>
      <w:r>
        <w:rPr>
          <w:bCs/>
          <w:szCs w:val="28"/>
        </w:rPr>
        <w:t>2</w:t>
      </w:r>
      <w:r w:rsidRPr="00040C68">
        <w:rPr>
          <w:bCs/>
          <w:szCs w:val="28"/>
        </w:rPr>
        <w:t>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Как следует из графиков, величина </w:t>
      </w:r>
      <w:proofErr w:type="spellStart"/>
      <w:r w:rsidRPr="00040C68">
        <w:rPr>
          <w:bCs/>
          <w:szCs w:val="28"/>
        </w:rPr>
        <w:t>Рлб</w:t>
      </w:r>
      <w:proofErr w:type="spellEnd"/>
      <w:r w:rsidRPr="00040C68">
        <w:rPr>
          <w:bCs/>
          <w:szCs w:val="28"/>
        </w:rPr>
        <w:t xml:space="preserve"> существенно возросла для значений нормативов плюс-минус 2σ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 xml:space="preserve"> и 3σ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 xml:space="preserve"> от 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 xml:space="preserve">ср. При этом, почти на 10% уменьшилась </w:t>
      </w:r>
      <w:proofErr w:type="gramStart"/>
      <w:r w:rsidRPr="00040C68">
        <w:rPr>
          <w:bCs/>
          <w:szCs w:val="28"/>
        </w:rPr>
        <w:t xml:space="preserve">вероятность  </w:t>
      </w:r>
      <w:proofErr w:type="spellStart"/>
      <w:r w:rsidRPr="00040C68">
        <w:rPr>
          <w:bCs/>
          <w:szCs w:val="28"/>
        </w:rPr>
        <w:t>Рлб</w:t>
      </w:r>
      <w:proofErr w:type="spellEnd"/>
      <w:proofErr w:type="gramEnd"/>
      <w:r w:rsidRPr="00040C68">
        <w:rPr>
          <w:bCs/>
          <w:szCs w:val="28"/>
        </w:rPr>
        <w:t xml:space="preserve"> для норматива равного отклонению от среднего плюс-минус 1.0 σ</w:t>
      </w:r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>. Этот факт можно объяснить тем, что при больших значениях случайной погрешности и случайной составляющей нормативных значений, некоторые результаты контроля при допусковом ограничении являются формально верными, но они приводят к совершенно противоположным решениям по отношению к действительно верным.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Вероятность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 xml:space="preserve"> с увеличением вариации нормативных значений также увеличивается, причем, это наиболее заметно при нормативах равных «2-х </w:t>
      </w:r>
      <w:proofErr w:type="spellStart"/>
      <w:r w:rsidRPr="00040C68">
        <w:rPr>
          <w:bCs/>
          <w:szCs w:val="28"/>
        </w:rPr>
        <w:t>сигмовому</w:t>
      </w:r>
      <w:proofErr w:type="spellEnd"/>
      <w:r w:rsidRPr="00040C68">
        <w:rPr>
          <w:bCs/>
          <w:szCs w:val="28"/>
        </w:rPr>
        <w:t>» коридору допуска и более. Другой характерной закономерностью для данной вероятности является большая динамика ее увеличения в области низких относительных погрешностей.</w:t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rPr>
          <w:noProof/>
          <w:lang w:eastAsia="ru-RU"/>
        </w:rPr>
        <w:drawing>
          <wp:inline distT="0" distB="0" distL="0" distR="0">
            <wp:extent cx="5153660" cy="2399030"/>
            <wp:effectExtent l="0" t="0" r="0" b="0"/>
            <wp:docPr id="4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Рисунок 2</w:t>
      </w:r>
      <w:r w:rsidRPr="00040C68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Pr="00040C68">
        <w:rPr>
          <w:sz w:val="28"/>
          <w:szCs w:val="28"/>
        </w:rPr>
        <w:t xml:space="preserve"> Результат машинного моделирования вероятности </w:t>
      </w:r>
      <w:proofErr w:type="spellStart"/>
      <w:r w:rsidRPr="00040C68">
        <w:rPr>
          <w:sz w:val="28"/>
          <w:szCs w:val="28"/>
        </w:rPr>
        <w:t>Рлб</w:t>
      </w:r>
      <w:proofErr w:type="spellEnd"/>
      <w:r w:rsidRPr="00040C68">
        <w:rPr>
          <w:sz w:val="28"/>
          <w:szCs w:val="28"/>
        </w:rPr>
        <w:t>, случайные нормативы (</w:t>
      </w:r>
      <w:proofErr w:type="spellStart"/>
      <w:r w:rsidRPr="00040C68">
        <w:rPr>
          <w:sz w:val="28"/>
          <w:szCs w:val="28"/>
        </w:rPr>
        <w:t>σпред</w:t>
      </w:r>
      <w:proofErr w:type="spellEnd"/>
      <w:r w:rsidRPr="00040C68">
        <w:rPr>
          <w:sz w:val="28"/>
          <w:szCs w:val="28"/>
        </w:rPr>
        <w:t xml:space="preserve"> =1.0σ</w:t>
      </w:r>
      <w:proofErr w:type="gramStart"/>
      <w:r w:rsidRPr="00040C68">
        <w:rPr>
          <w:sz w:val="28"/>
          <w:szCs w:val="28"/>
          <w:lang w:val="en-US"/>
        </w:rPr>
        <w:t>s</w:t>
      </w:r>
      <w:r w:rsidRPr="00040C68">
        <w:rPr>
          <w:sz w:val="28"/>
          <w:szCs w:val="28"/>
        </w:rPr>
        <w:t xml:space="preserve"> )</w:t>
      </w:r>
      <w:proofErr w:type="gramEnd"/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rPr>
          <w:noProof/>
          <w:lang w:eastAsia="ru-RU"/>
        </w:rPr>
        <w:drawing>
          <wp:inline distT="0" distB="0" distL="0" distR="0">
            <wp:extent cx="4809490" cy="2185035"/>
            <wp:effectExtent l="0" t="0" r="0" b="0"/>
            <wp:docPr id="3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>
        <w:lastRenderedPageBreak/>
        <w:t>Рисунок 2</w:t>
      </w:r>
      <w:r w:rsidRPr="00040C68">
        <w:t>.</w:t>
      </w:r>
      <w:r>
        <w:t>10</w:t>
      </w:r>
      <w:r w:rsidRPr="00040C68">
        <w:t xml:space="preserve"> Результат машинного моделирования вероятности </w:t>
      </w:r>
      <w:proofErr w:type="spellStart"/>
      <w:r w:rsidRPr="00040C68">
        <w:t>Рнб</w:t>
      </w:r>
      <w:proofErr w:type="spellEnd"/>
      <w:r w:rsidRPr="00040C68">
        <w:t>, случайные нормативы (</w:t>
      </w:r>
      <w:proofErr w:type="spellStart"/>
      <w:r w:rsidRPr="00040C68">
        <w:t>σпред</w:t>
      </w:r>
      <w:proofErr w:type="spellEnd"/>
      <w:r w:rsidRPr="00040C68">
        <w:t xml:space="preserve"> =1.0σ</w:t>
      </w:r>
      <w:proofErr w:type="gramStart"/>
      <w:r w:rsidRPr="00040C68">
        <w:rPr>
          <w:lang w:val="en-US"/>
        </w:rPr>
        <w:t>s</w:t>
      </w:r>
      <w:r w:rsidRPr="00040C68">
        <w:t xml:space="preserve"> )</w:t>
      </w:r>
      <w:proofErr w:type="gramEnd"/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С целью визуализации картины трехмерной связи всех параметров в форме гладкой поверхности в трехмерном пространстве, был построен графический объект в осях: </w:t>
      </w:r>
      <w:r w:rsidRPr="00040C68">
        <w:rPr>
          <w:bCs/>
          <w:szCs w:val="28"/>
          <w:lang w:val="en-US"/>
        </w:rPr>
        <w:t>PNB</w:t>
      </w:r>
      <w:r w:rsidRPr="00040C68">
        <w:rPr>
          <w:bCs/>
          <w:szCs w:val="28"/>
        </w:rPr>
        <w:t xml:space="preserve">- ось вероятности необнаруженного брака- зависимая переменная; </w:t>
      </w:r>
      <w:r w:rsidRPr="00040C68">
        <w:rPr>
          <w:bCs/>
          <w:szCs w:val="28"/>
          <w:lang w:val="en-US"/>
        </w:rPr>
        <w:t>PLB</w:t>
      </w:r>
      <w:r w:rsidRPr="00040C68">
        <w:rPr>
          <w:bCs/>
          <w:szCs w:val="28"/>
        </w:rPr>
        <w:t xml:space="preserve">- ось вероятности ложного брака- зависимая переменная; </w:t>
      </w:r>
      <w:r w:rsidRPr="00040C68">
        <w:rPr>
          <w:bCs/>
          <w:szCs w:val="28"/>
          <w:lang w:val="en-US"/>
        </w:rPr>
        <w:t>SF</w:t>
      </w:r>
      <w:r w:rsidRPr="00040C68">
        <w:rPr>
          <w:bCs/>
          <w:szCs w:val="28"/>
        </w:rPr>
        <w:t>_</w:t>
      </w:r>
      <w:r w:rsidRPr="00040C68">
        <w:rPr>
          <w:bCs/>
          <w:szCs w:val="28"/>
          <w:lang w:val="en-US"/>
        </w:rPr>
        <w:t>SS</w:t>
      </w:r>
      <w:r w:rsidRPr="00040C68">
        <w:rPr>
          <w:bCs/>
          <w:szCs w:val="28"/>
        </w:rPr>
        <w:t xml:space="preserve">- ось относительной погрешности- независимая переменная; </w:t>
      </w:r>
      <w:r w:rsidRPr="00040C68">
        <w:rPr>
          <w:bCs/>
          <w:szCs w:val="28"/>
          <w:lang w:val="en-US"/>
        </w:rPr>
        <w:t>SPBHN</w:t>
      </w:r>
      <w:r w:rsidRPr="00040C68">
        <w:rPr>
          <w:bCs/>
          <w:szCs w:val="28"/>
        </w:rPr>
        <w:t xml:space="preserve">- нормативы в </w:t>
      </w:r>
      <w:proofErr w:type="gramStart"/>
      <w:r w:rsidRPr="00040C68">
        <w:rPr>
          <w:bCs/>
          <w:szCs w:val="28"/>
        </w:rPr>
        <w:t>долях  σ</w:t>
      </w:r>
      <w:proofErr w:type="gramEnd"/>
      <w:r w:rsidRPr="00040C68">
        <w:rPr>
          <w:bCs/>
          <w:szCs w:val="28"/>
          <w:lang w:val="en-US"/>
        </w:rPr>
        <w:t>s</w:t>
      </w:r>
      <w:r w:rsidRPr="00040C68">
        <w:rPr>
          <w:bCs/>
          <w:szCs w:val="28"/>
        </w:rPr>
        <w:t xml:space="preserve">.-независимая переменная. На рисунках </w:t>
      </w:r>
      <w:r>
        <w:rPr>
          <w:bCs/>
          <w:szCs w:val="28"/>
        </w:rPr>
        <w:t>2</w:t>
      </w:r>
      <w:r w:rsidRPr="00040C68">
        <w:rPr>
          <w:bCs/>
          <w:szCs w:val="28"/>
        </w:rPr>
        <w:t>.1</w:t>
      </w:r>
      <w:r>
        <w:rPr>
          <w:bCs/>
          <w:szCs w:val="28"/>
        </w:rPr>
        <w:t>1 и 2</w:t>
      </w:r>
      <w:r w:rsidRPr="00040C68">
        <w:rPr>
          <w:bCs/>
          <w:szCs w:val="28"/>
        </w:rPr>
        <w:t>.1</w:t>
      </w:r>
      <w:r>
        <w:rPr>
          <w:bCs/>
          <w:szCs w:val="28"/>
        </w:rPr>
        <w:t>2</w:t>
      </w:r>
      <w:r w:rsidRPr="00040C68">
        <w:rPr>
          <w:bCs/>
          <w:szCs w:val="28"/>
        </w:rPr>
        <w:t xml:space="preserve"> представлены графические трехмерные модели результатов компьютерного моделирования.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Трехмерная поверхность имеет следующую аналитическую регрессионную аппроксимацию вероятности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>:</w:t>
      </w:r>
    </w:p>
    <w:p w:rsidR="00F9304E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rPr>
          <w:lang w:val="en-US"/>
        </w:rPr>
        <w:t>Z</w:t>
      </w:r>
      <w:r w:rsidRPr="00040C68">
        <w:t xml:space="preserve">= 11.83+19.4 </w:t>
      </w:r>
      <w:r w:rsidRPr="00040C68">
        <w:rPr>
          <w:lang w:val="en-US"/>
        </w:rPr>
        <w:t>X</w:t>
      </w:r>
      <w:r w:rsidRPr="00040C68">
        <w:t xml:space="preserve"> + 0,549 </w:t>
      </w:r>
      <w:r w:rsidRPr="00040C68">
        <w:rPr>
          <w:lang w:val="en-US"/>
        </w:rPr>
        <w:t>Y</w:t>
      </w:r>
      <w:r w:rsidRPr="00040C68">
        <w:t xml:space="preserve"> –11.32</w:t>
      </w:r>
      <w:r w:rsidRPr="00040C68">
        <w:rPr>
          <w:lang w:val="en-US"/>
        </w:rPr>
        <w:t>Y</w:t>
      </w:r>
      <w:r w:rsidRPr="00040C68">
        <w:t>- 5.17</w:t>
      </w:r>
      <w:r w:rsidRPr="00040C68">
        <w:rPr>
          <w:lang w:val="en-US"/>
        </w:rPr>
        <w:t>X</w:t>
      </w:r>
      <w:proofErr w:type="gramStart"/>
      <w:r w:rsidRPr="00040C68">
        <w:rPr>
          <w:vertAlign w:val="superscript"/>
        </w:rPr>
        <w:t xml:space="preserve">2  </w:t>
      </w:r>
      <w:r w:rsidRPr="00040C68">
        <w:t>-</w:t>
      </w:r>
      <w:proofErr w:type="gramEnd"/>
      <w:r w:rsidRPr="00040C68">
        <w:t xml:space="preserve">4.56 </w:t>
      </w:r>
      <w:r w:rsidRPr="00040C68">
        <w:rPr>
          <w:lang w:val="en-US"/>
        </w:rPr>
        <w:t>XY</w:t>
      </w:r>
      <w:r w:rsidRPr="00040C68">
        <w:t xml:space="preserve"> + 2.35</w:t>
      </w:r>
      <w:r w:rsidRPr="00040C68">
        <w:rPr>
          <w:lang w:val="en-US"/>
        </w:rPr>
        <w:t>Y</w:t>
      </w:r>
      <w:r w:rsidRPr="00040C68">
        <w:rPr>
          <w:vertAlign w:val="superscript"/>
        </w:rPr>
        <w:t>2</w:t>
      </w:r>
      <w:r w:rsidRPr="00040C68">
        <w:t xml:space="preserve">      (</w:t>
      </w:r>
      <w:r>
        <w:t>2</w:t>
      </w:r>
      <w:r w:rsidRPr="00040C68">
        <w:t>.</w:t>
      </w:r>
      <w:r>
        <w:t>16</w:t>
      </w:r>
      <w:r w:rsidRPr="00040C68">
        <w:t>)</w:t>
      </w:r>
    </w:p>
    <w:p w:rsidR="00F9304E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t xml:space="preserve">Для удобства графического построения в пакете </w:t>
      </w:r>
      <w:r w:rsidRPr="00040C68">
        <w:rPr>
          <w:lang w:val="en-US"/>
        </w:rPr>
        <w:t>STATISTICA</w:t>
      </w:r>
      <w:r w:rsidRPr="00040C68">
        <w:t xml:space="preserve"> были использованы следующие обозначения:</w:t>
      </w:r>
    </w:p>
    <w:p w:rsidR="00F9304E" w:rsidRPr="00040C68" w:rsidRDefault="00F9304E" w:rsidP="00F9304E">
      <w:pPr>
        <w:ind w:firstLine="709"/>
        <w:jc w:val="both"/>
      </w:pPr>
      <w:r w:rsidRPr="00040C68">
        <w:t xml:space="preserve">   </w:t>
      </w:r>
      <w:r w:rsidRPr="00040C68">
        <w:rPr>
          <w:lang w:val="en-US"/>
        </w:rPr>
        <w:t>Z</w:t>
      </w:r>
      <w:r w:rsidRPr="00040C68">
        <w:t xml:space="preserve">- </w:t>
      </w:r>
      <w:proofErr w:type="spellStart"/>
      <w:r w:rsidRPr="00040C68">
        <w:t>Рнб</w:t>
      </w:r>
      <w:proofErr w:type="spellEnd"/>
      <w:r w:rsidRPr="00040C68">
        <w:t>;</w:t>
      </w:r>
    </w:p>
    <w:p w:rsidR="00F9304E" w:rsidRPr="00040C68" w:rsidRDefault="00F9304E" w:rsidP="00F9304E">
      <w:pPr>
        <w:ind w:firstLine="709"/>
        <w:jc w:val="both"/>
      </w:pPr>
      <w:r w:rsidRPr="00040C68">
        <w:t xml:space="preserve">   Х- относительная погрешность (</w:t>
      </w:r>
      <w:proofErr w:type="spellStart"/>
      <w:r w:rsidRPr="00040C68">
        <w:t>σφ</w:t>
      </w:r>
      <w:proofErr w:type="spellEnd"/>
      <w:r w:rsidRPr="00040C68">
        <w:t>/σ</w:t>
      </w:r>
      <w:r w:rsidRPr="00040C68">
        <w:rPr>
          <w:lang w:val="en-US"/>
        </w:rPr>
        <w:t>s</w:t>
      </w:r>
      <w:r w:rsidRPr="00040C68">
        <w:t>);</w:t>
      </w:r>
    </w:p>
    <w:p w:rsidR="00F9304E" w:rsidRPr="00040C68" w:rsidRDefault="00F9304E" w:rsidP="00F9304E">
      <w:pPr>
        <w:ind w:firstLine="709"/>
        <w:jc w:val="both"/>
      </w:pPr>
      <w:r w:rsidRPr="00040C68">
        <w:t xml:space="preserve">   </w:t>
      </w:r>
      <w:r w:rsidRPr="00040C68">
        <w:rPr>
          <w:lang w:val="en-US"/>
        </w:rPr>
        <w:t>Y</w:t>
      </w:r>
      <w:r w:rsidRPr="00040C68">
        <w:t>- величина нормативов в долях σ</w:t>
      </w:r>
      <w:r w:rsidRPr="00040C68">
        <w:rPr>
          <w:lang w:val="en-US"/>
        </w:rPr>
        <w:t>s</w:t>
      </w:r>
      <w:r w:rsidRPr="00040C68">
        <w:t>.</w:t>
      </w:r>
    </w:p>
    <w:p w:rsidR="00F9304E" w:rsidRPr="00040C68" w:rsidRDefault="00F9304E" w:rsidP="00F9304E">
      <w:pPr>
        <w:pStyle w:val="2"/>
        <w:spacing w:line="240" w:lineRule="auto"/>
        <w:ind w:firstLine="709"/>
        <w:jc w:val="both"/>
        <w:rPr>
          <w:bCs/>
          <w:szCs w:val="28"/>
        </w:rPr>
      </w:pPr>
      <w:r w:rsidRPr="00040C68">
        <w:rPr>
          <w:bCs/>
          <w:szCs w:val="28"/>
        </w:rPr>
        <w:t xml:space="preserve">Аналитическая регрессионная модель вероятности </w:t>
      </w:r>
      <w:proofErr w:type="spellStart"/>
      <w:r w:rsidRPr="00040C68">
        <w:rPr>
          <w:bCs/>
          <w:szCs w:val="28"/>
        </w:rPr>
        <w:t>Рнб</w:t>
      </w:r>
      <w:proofErr w:type="spellEnd"/>
      <w:r w:rsidRPr="00040C68">
        <w:rPr>
          <w:bCs/>
          <w:szCs w:val="28"/>
        </w:rPr>
        <w:t>:</w:t>
      </w:r>
    </w:p>
    <w:p w:rsidR="00F9304E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rPr>
          <w:lang w:val="en-US"/>
        </w:rPr>
        <w:t>Z</w:t>
      </w:r>
      <w:r w:rsidRPr="00040C68">
        <w:t xml:space="preserve">= 11.83+19.4 </w:t>
      </w:r>
      <w:r w:rsidRPr="00040C68">
        <w:rPr>
          <w:lang w:val="en-US"/>
        </w:rPr>
        <w:t>X</w:t>
      </w:r>
      <w:r w:rsidRPr="00040C68">
        <w:t xml:space="preserve">+ 0,549 </w:t>
      </w:r>
      <w:r w:rsidRPr="00040C68">
        <w:rPr>
          <w:lang w:val="en-US"/>
        </w:rPr>
        <w:t>Y</w:t>
      </w:r>
      <w:r w:rsidRPr="00040C68">
        <w:t>–11.32</w:t>
      </w:r>
      <w:r w:rsidRPr="00040C68">
        <w:rPr>
          <w:lang w:val="en-US"/>
        </w:rPr>
        <w:t>Y</w:t>
      </w:r>
      <w:r w:rsidRPr="00040C68">
        <w:t>- 5/17</w:t>
      </w:r>
      <w:r w:rsidRPr="00040C68">
        <w:rPr>
          <w:lang w:val="en-US"/>
        </w:rPr>
        <w:t>X</w:t>
      </w:r>
      <w:proofErr w:type="gramStart"/>
      <w:r w:rsidRPr="00040C68">
        <w:rPr>
          <w:vertAlign w:val="superscript"/>
        </w:rPr>
        <w:t xml:space="preserve">2  </w:t>
      </w:r>
      <w:r w:rsidRPr="00040C68">
        <w:t>-</w:t>
      </w:r>
      <w:proofErr w:type="gramEnd"/>
      <w:r w:rsidRPr="00040C68">
        <w:t xml:space="preserve">4.56 </w:t>
      </w:r>
      <w:r w:rsidRPr="00040C68">
        <w:rPr>
          <w:lang w:val="en-US"/>
        </w:rPr>
        <w:t>XY</w:t>
      </w:r>
      <w:r w:rsidRPr="00040C68">
        <w:t xml:space="preserve"> + 2.35</w:t>
      </w:r>
      <w:r w:rsidRPr="00040C68">
        <w:rPr>
          <w:lang w:val="en-US"/>
        </w:rPr>
        <w:t>Y</w:t>
      </w:r>
      <w:r w:rsidRPr="00040C68">
        <w:rPr>
          <w:vertAlign w:val="superscript"/>
        </w:rPr>
        <w:t>2</w:t>
      </w:r>
      <w:r w:rsidRPr="00040C68">
        <w:t xml:space="preserve">       (</w:t>
      </w:r>
      <w:r>
        <w:t>2</w:t>
      </w:r>
      <w:r w:rsidRPr="00040C68">
        <w:t>.</w:t>
      </w:r>
      <w:r>
        <w:t>17</w:t>
      </w:r>
      <w:r w:rsidRPr="00040C68">
        <w:t>)</w:t>
      </w:r>
    </w:p>
    <w:p w:rsidR="00F9304E" w:rsidRPr="00040C68" w:rsidRDefault="00F9304E" w:rsidP="00F9304E">
      <w:pPr>
        <w:ind w:firstLine="709"/>
        <w:jc w:val="both"/>
      </w:pPr>
    </w:p>
    <w:p w:rsidR="00F9304E" w:rsidRPr="00040C68" w:rsidRDefault="00F9304E" w:rsidP="00F9304E">
      <w:pPr>
        <w:ind w:firstLine="709"/>
        <w:jc w:val="both"/>
      </w:pPr>
      <w:r w:rsidRPr="00040C68">
        <w:t>Качество моделирования (адекватность) оценивается критерием Фишера –</w:t>
      </w:r>
      <w:r>
        <w:t xml:space="preserve"> </w:t>
      </w:r>
      <w:r w:rsidRPr="00040C68">
        <w:rPr>
          <w:lang w:val="en-US"/>
        </w:rPr>
        <w:t>F</w:t>
      </w:r>
      <w:r w:rsidRPr="00040C68">
        <w:t>-критерием. При уровне доверительной вероятности 0.95 и модельном значении критерия Фишера для модели (</w:t>
      </w:r>
      <w:r>
        <w:t>2</w:t>
      </w:r>
      <w:r w:rsidRPr="00040C68">
        <w:t>.</w:t>
      </w:r>
      <w:r>
        <w:t>16</w:t>
      </w:r>
      <w:r w:rsidRPr="00040C68">
        <w:t xml:space="preserve">) равном </w:t>
      </w:r>
      <w:r w:rsidRPr="00040C68">
        <w:rPr>
          <w:lang w:val="en-US"/>
        </w:rPr>
        <w:t>F</w:t>
      </w:r>
      <w:r w:rsidRPr="00040C68">
        <w:t>м= 8.6 и для модели (</w:t>
      </w:r>
      <w:r>
        <w:t>2</w:t>
      </w:r>
      <w:r w:rsidRPr="00040C68">
        <w:t>.</w:t>
      </w:r>
      <w:r>
        <w:t>17</w:t>
      </w:r>
      <w:r w:rsidRPr="00040C68">
        <w:t xml:space="preserve">) равном </w:t>
      </w:r>
      <w:r w:rsidRPr="00040C68">
        <w:rPr>
          <w:lang w:val="en-US"/>
        </w:rPr>
        <w:t>F</w:t>
      </w:r>
      <w:r w:rsidRPr="00040C68">
        <w:t>м= 12.3</w:t>
      </w:r>
      <w:proofErr w:type="gramStart"/>
      <w:r w:rsidRPr="00040C68">
        <w:t>,  гипотеза</w:t>
      </w:r>
      <w:proofErr w:type="gramEnd"/>
      <w:r w:rsidRPr="00040C68">
        <w:t xml:space="preserve"> о форме регрессии обеих моделей не отвергается.</w:t>
      </w:r>
    </w:p>
    <w:p w:rsidR="00F9304E" w:rsidRPr="00040C68" w:rsidRDefault="00F9304E" w:rsidP="00F9304E">
      <w:pPr>
        <w:ind w:firstLine="709"/>
        <w:jc w:val="both"/>
      </w:pPr>
      <w:r w:rsidRPr="00040C68">
        <w:t xml:space="preserve">Полученные регрессионная модели значительно проще в сравнении с вероятностными, и несмотря на меньшую точность, тем не </w:t>
      </w:r>
      <w:proofErr w:type="gramStart"/>
      <w:r w:rsidRPr="00040C68">
        <w:t>менее,  могут</w:t>
      </w:r>
      <w:proofErr w:type="gramEnd"/>
      <w:r w:rsidRPr="00040C68">
        <w:t xml:space="preserve"> быть рекомендованы для целей прогнозирования при заданных статистических показателях.</w:t>
      </w:r>
    </w:p>
    <w:p w:rsidR="00F9304E" w:rsidRPr="00040C68" w:rsidRDefault="00F9304E" w:rsidP="00F9304E">
      <w:pPr>
        <w:ind w:firstLine="709"/>
        <w:jc w:val="both"/>
      </w:pPr>
    </w:p>
    <w:p w:rsidR="00F9304E" w:rsidRDefault="00F9304E" w:rsidP="00F9304E">
      <w:pPr>
        <w:ind w:firstLine="709"/>
      </w:pPr>
      <w:r>
        <w:rPr>
          <w:noProof/>
          <w:lang w:eastAsia="ru-RU"/>
        </w:rPr>
        <w:lastRenderedPageBreak/>
        <w:drawing>
          <wp:inline distT="0" distB="0" distL="0" distR="0">
            <wp:extent cx="4797425" cy="35509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425" cy="35509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04E" w:rsidRDefault="00F9304E" w:rsidP="00F9304E">
      <w:pPr>
        <w:ind w:firstLine="709"/>
        <w:jc w:val="center"/>
      </w:pPr>
    </w:p>
    <w:p w:rsidR="00F9304E" w:rsidRDefault="00F9304E" w:rsidP="00F9304E">
      <w:pPr>
        <w:ind w:firstLine="709"/>
        <w:jc w:val="center"/>
      </w:pPr>
      <w:r>
        <w:t xml:space="preserve">Рисунок 2.11 -  Трехмерная графическая модель результатов машинного моделирования вероятности </w:t>
      </w:r>
      <w:proofErr w:type="spellStart"/>
      <w:r>
        <w:t>Рнб</w:t>
      </w:r>
      <w:proofErr w:type="spellEnd"/>
    </w:p>
    <w:p w:rsidR="00F9304E" w:rsidRDefault="00F9304E" w:rsidP="00F9304E">
      <w:pPr>
        <w:ind w:firstLine="709"/>
      </w:pPr>
      <w:r>
        <w:rPr>
          <w:noProof/>
          <w:lang w:eastAsia="ru-RU"/>
        </w:rPr>
        <w:drawing>
          <wp:inline distT="0" distB="0" distL="0" distR="0">
            <wp:extent cx="5046980" cy="2849880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98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04E" w:rsidRDefault="00F9304E" w:rsidP="00F9304E">
      <w:pPr>
        <w:ind w:firstLine="709"/>
      </w:pPr>
    </w:p>
    <w:p w:rsidR="00F9304E" w:rsidRDefault="00F9304E" w:rsidP="00F9304E">
      <w:pPr>
        <w:ind w:firstLine="709"/>
        <w:jc w:val="center"/>
      </w:pPr>
      <w:r>
        <w:t xml:space="preserve">Рисунок 2.12 -  Трехмерная графическая модель результатов машинного моделирования вероятности </w:t>
      </w:r>
      <w:proofErr w:type="spellStart"/>
      <w:r>
        <w:t>Рлб</w:t>
      </w:r>
      <w:proofErr w:type="spellEnd"/>
    </w:p>
    <w:p w:rsidR="00F9304E" w:rsidRDefault="00F9304E" w:rsidP="00F9304E">
      <w:pPr>
        <w:ind w:firstLine="709"/>
      </w:pPr>
    </w:p>
    <w:p w:rsidR="00F9304E" w:rsidRPr="00A60CBC" w:rsidRDefault="00F9304E" w:rsidP="00F9304E">
      <w:pPr>
        <w:pStyle w:val="3"/>
        <w:ind w:firstLine="709"/>
        <w:rPr>
          <w:bCs/>
          <w:sz w:val="28"/>
          <w:szCs w:val="28"/>
        </w:rPr>
      </w:pPr>
      <w:r w:rsidRPr="00A60CBC">
        <w:rPr>
          <w:bCs/>
          <w:sz w:val="28"/>
          <w:szCs w:val="28"/>
        </w:rPr>
        <w:t>Полученные результаты планируется положить в основу процессов принятия решений в системы мониторинга лечебно-д</w:t>
      </w:r>
      <w:r>
        <w:rPr>
          <w:bCs/>
          <w:sz w:val="28"/>
          <w:szCs w:val="28"/>
        </w:rPr>
        <w:t>иагностической помощи пациентам</w:t>
      </w:r>
      <w:bookmarkStart w:id="0" w:name="_GoBack"/>
      <w:bookmarkEnd w:id="0"/>
    </w:p>
    <w:p w:rsidR="00F9304E" w:rsidRPr="00A60CBC" w:rsidRDefault="00F9304E" w:rsidP="00F9304E">
      <w:pPr>
        <w:pStyle w:val="2"/>
        <w:spacing w:line="240" w:lineRule="auto"/>
        <w:ind w:firstLine="709"/>
        <w:rPr>
          <w:bCs/>
          <w:szCs w:val="28"/>
        </w:rPr>
      </w:pPr>
      <w:bookmarkStart w:id="1" w:name="_Toc74150358"/>
      <w:bookmarkEnd w:id="1"/>
    </w:p>
    <w:p w:rsidR="00F9304E" w:rsidRDefault="00F9304E" w:rsidP="00F9304E">
      <w:pPr>
        <w:ind w:firstLine="709"/>
      </w:pPr>
    </w:p>
    <w:p w:rsidR="00AC4325" w:rsidRDefault="00AC4325"/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95B"/>
    <w:rsid w:val="005C795B"/>
    <w:rsid w:val="00AC4325"/>
    <w:rsid w:val="00F9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41980"/>
  <w15:chartTrackingRefBased/>
  <w15:docId w15:val="{18446BE4-10AD-4E80-822D-862EE77A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04E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9304E"/>
    <w:pPr>
      <w:spacing w:after="120"/>
    </w:pPr>
    <w:rPr>
      <w:rFonts w:eastAsia="Times New Roman" w:cs="Times New Roman"/>
      <w:bCs w:val="0"/>
      <w:color w:val="auto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F930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F9304E"/>
    <w:pPr>
      <w:spacing w:line="360" w:lineRule="auto"/>
      <w:ind w:firstLine="737"/>
    </w:pPr>
    <w:rPr>
      <w:rFonts w:eastAsia="Times New Roman" w:cs="Times New Roman"/>
      <w:bCs w:val="0"/>
      <w:color w:val="auto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9304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F9304E"/>
    <w:pPr>
      <w:spacing w:after="120"/>
      <w:ind w:left="283"/>
    </w:pPr>
    <w:rPr>
      <w:rFonts w:eastAsia="Times New Roman" w:cs="Times New Roman"/>
      <w:bCs w:val="0"/>
      <w:color w:val="auto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F9304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Знак Знак1 Знак Знак Знак Знак Знак Знак Знак"/>
    <w:basedOn w:val="a"/>
    <w:autoRedefine/>
    <w:rsid w:val="00F9304E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image" Target="media/image2.png"/><Relationship Id="rId5" Type="http://schemas.openxmlformats.org/officeDocument/2006/relationships/chart" Target="charts/chart2.xml"/><Relationship Id="rId10" Type="http://schemas.openxmlformats.org/officeDocument/2006/relationships/image" Target="media/image1.png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8996138996139"/>
          <c:y val="8.9552238805970144E-2"/>
          <c:w val="0.73166023166023164"/>
          <c:h val="0.64179104477611937"/>
        </c:manualLayout>
      </c:layout>
      <c:lineChart>
        <c:grouping val="standard"/>
        <c:varyColors val="0"/>
        <c:ser>
          <c:idx val="0"/>
          <c:order val="0"/>
          <c:tx>
            <c:v>1</c:v>
          </c:tx>
          <c:spPr>
            <a:ln w="25399">
              <a:solidFill>
                <a:srgbClr val="000000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Лист1!$B$1:$B$5</c:f>
              <c:numCache>
                <c:formatCode>\О\с\н\о\в\н\о\й</c:formatCode>
                <c:ptCount val="5"/>
                <c:pt idx="0">
                  <c:v>0.14000000000000001</c:v>
                </c:pt>
                <c:pt idx="1">
                  <c:v>0.21299999999999999</c:v>
                </c:pt>
                <c:pt idx="2">
                  <c:v>0.67800000000000005</c:v>
                </c:pt>
                <c:pt idx="3">
                  <c:v>1.55</c:v>
                </c:pt>
                <c:pt idx="4">
                  <c:v>2.88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900-47A7-B9DF-99C87E7BFCFC}"/>
            </c:ext>
          </c:extLst>
        </c:ser>
        <c:ser>
          <c:idx val="1"/>
          <c:order val="1"/>
          <c:tx>
            <c:v>2</c:v>
          </c:tx>
          <c:spPr>
            <a:ln w="25399">
              <a:solidFill>
                <a:srgbClr val="000000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Лист1!$C$1:$C$5</c:f>
              <c:numCache>
                <c:formatCode>\О\с\н\о\в\н\о\й</c:formatCode>
                <c:ptCount val="5"/>
                <c:pt idx="0">
                  <c:v>1.1830000000000001</c:v>
                </c:pt>
                <c:pt idx="1">
                  <c:v>3.28</c:v>
                </c:pt>
                <c:pt idx="2">
                  <c:v>5.73</c:v>
                </c:pt>
                <c:pt idx="3">
                  <c:v>9.36</c:v>
                </c:pt>
                <c:pt idx="4">
                  <c:v>13.43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900-47A7-B9DF-99C87E7BFCFC}"/>
            </c:ext>
          </c:extLst>
        </c:ser>
        <c:ser>
          <c:idx val="2"/>
          <c:order val="2"/>
          <c:tx>
            <c:v>3</c:v>
          </c:tx>
          <c:spPr>
            <a:ln w="25399">
              <a:solidFill>
                <a:srgbClr val="000000"/>
              </a:solidFill>
              <a:prstDash val="solid"/>
            </a:ln>
          </c:spPr>
          <c:marker>
            <c:symbol val="triangl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Лист1!$D$1:$D$5</c:f>
              <c:numCache>
                <c:formatCode>\О\с\н\о\в\н\о\й</c:formatCode>
                <c:ptCount val="5"/>
                <c:pt idx="0">
                  <c:v>4</c:v>
                </c:pt>
                <c:pt idx="1">
                  <c:v>9.0399999999999991</c:v>
                </c:pt>
                <c:pt idx="2">
                  <c:v>13.97</c:v>
                </c:pt>
                <c:pt idx="3">
                  <c:v>19.760000000000002</c:v>
                </c:pt>
                <c:pt idx="4">
                  <c:v>25.01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900-47A7-B9DF-99C87E7BFC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5406896"/>
        <c:axId val="1"/>
      </c:lineChart>
      <c:catAx>
        <c:axId val="2054068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Относительная погрешность</a:t>
                </a:r>
              </a:p>
            </c:rich>
          </c:tx>
          <c:layout>
            <c:manualLayout>
              <c:xMode val="edge"/>
              <c:yMode val="edge"/>
              <c:x val="0.29536679536679539"/>
              <c:y val="0.86194029850746268"/>
            </c:manualLayout>
          </c:layout>
          <c:overlay val="0"/>
          <c:spPr>
            <a:noFill/>
            <a:ln w="25399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Вероятность Рлб%</a:t>
                </a:r>
              </a:p>
            </c:rich>
          </c:tx>
          <c:layout>
            <c:manualLayout>
              <c:xMode val="edge"/>
              <c:yMode val="edge"/>
              <c:x val="2.1235521235521235E-2"/>
              <c:y val="0.13432835820895522"/>
            </c:manualLayout>
          </c:layout>
          <c:overlay val="0"/>
          <c:spPr>
            <a:noFill/>
            <a:ln w="25399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20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5406896"/>
        <c:crosses val="autoZero"/>
        <c:crossBetween val="between"/>
      </c:valAx>
      <c:spPr>
        <a:solidFill>
          <a:srgbClr val="C0C0C0"/>
        </a:solidFill>
        <a:ln w="12699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8996138996138996"/>
          <c:y val="0.27238805970149255"/>
          <c:w val="0.10038610038610038"/>
          <c:h val="0.27238805970149255"/>
        </c:manualLayout>
      </c:layout>
      <c:overlay val="0"/>
      <c:spPr>
        <a:solidFill>
          <a:srgbClr val="FFFFFF"/>
        </a:solidFill>
        <a:ln w="25399">
          <a:solidFill>
            <a:srgbClr val="000000"/>
          </a:solidFill>
          <a:prstDash val="solid"/>
        </a:ln>
      </c:spPr>
      <c:txPr>
        <a:bodyPr/>
        <a:lstStyle/>
        <a:p>
          <a:pPr>
            <a:defRPr sz="1100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5286624203821655"/>
          <c:y val="8.727272727272728E-2"/>
          <c:w val="0.70488322717622076"/>
          <c:h val="0.65090909090909088"/>
        </c:manualLayout>
      </c:layout>
      <c:lineChart>
        <c:grouping val="standard"/>
        <c:varyColors val="0"/>
        <c:ser>
          <c:idx val="0"/>
          <c:order val="0"/>
          <c:tx>
            <c:v>1</c:v>
          </c:tx>
          <c:spPr>
            <a:ln w="25336">
              <a:solidFill>
                <a:srgbClr val="000000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Лист1!$B$1:$B$5</c:f>
              <c:numCache>
                <c:formatCode>\О\с\н\о\в\н\о\й</c:formatCode>
                <c:ptCount val="5"/>
                <c:pt idx="0">
                  <c:v>3.5999999999999997E-2</c:v>
                </c:pt>
                <c:pt idx="1">
                  <c:v>9.8000000000000004E-2</c:v>
                </c:pt>
                <c:pt idx="2">
                  <c:v>9.4E-2</c:v>
                </c:pt>
                <c:pt idx="3">
                  <c:v>5.0999999999999997E-2</c:v>
                </c:pt>
                <c:pt idx="4">
                  <c:v>7.6999999999999999E-2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815-4306-971B-8C679794FB60}"/>
            </c:ext>
          </c:extLst>
        </c:ser>
        <c:ser>
          <c:idx val="1"/>
          <c:order val="1"/>
          <c:tx>
            <c:v>2</c:v>
          </c:tx>
          <c:spPr>
            <a:ln w="25336">
              <a:solidFill>
                <a:srgbClr val="000000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Лист1!$C$1:$C$5</c:f>
              <c:numCache>
                <c:formatCode>\О\с\н\о\в\н\о\й</c:formatCode>
                <c:ptCount val="5"/>
                <c:pt idx="0">
                  <c:v>1.1200000000000001</c:v>
                </c:pt>
                <c:pt idx="1">
                  <c:v>1.59</c:v>
                </c:pt>
                <c:pt idx="2">
                  <c:v>1.95</c:v>
                </c:pt>
                <c:pt idx="3">
                  <c:v>2.06</c:v>
                </c:pt>
                <c:pt idx="4">
                  <c:v>2.34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815-4306-971B-8C679794FB60}"/>
            </c:ext>
          </c:extLst>
        </c:ser>
        <c:ser>
          <c:idx val="2"/>
          <c:order val="2"/>
          <c:tx>
            <c:v>3</c:v>
          </c:tx>
          <c:spPr>
            <a:ln w="25336">
              <a:solidFill>
                <a:srgbClr val="000000"/>
              </a:solidFill>
              <a:prstDash val="solid"/>
            </a:ln>
          </c:spPr>
          <c:marker>
            <c:symbol val="triangl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Лист1!$D$1:$D$5</c:f>
              <c:numCache>
                <c:formatCode>\О\с\н\о\в\н\о\й</c:formatCode>
                <c:ptCount val="5"/>
                <c:pt idx="0">
                  <c:v>3.48</c:v>
                </c:pt>
                <c:pt idx="1">
                  <c:v>6.1429999999999998</c:v>
                </c:pt>
                <c:pt idx="2">
                  <c:v>7.98</c:v>
                </c:pt>
                <c:pt idx="3">
                  <c:v>9.2200000000000006</c:v>
                </c:pt>
                <c:pt idx="4">
                  <c:v>10.07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5-4306-971B-8C679794FB6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5408208"/>
        <c:axId val="1"/>
      </c:lineChart>
      <c:catAx>
        <c:axId val="20540820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97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Относительная погрешность</a:t>
                </a:r>
              </a:p>
            </c:rich>
          </c:tx>
          <c:layout>
            <c:manualLayout>
              <c:xMode val="edge"/>
              <c:yMode val="edge"/>
              <c:x val="0.27600849256900212"/>
              <c:y val="0.86545454545454548"/>
            </c:manualLayout>
          </c:layout>
          <c:overlay val="0"/>
          <c:spPr>
            <a:noFill/>
            <a:ln w="25336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7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67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197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Вероятность Рнб %</a:t>
                </a:r>
              </a:p>
            </c:rich>
          </c:tx>
          <c:layout>
            <c:manualLayout>
              <c:xMode val="edge"/>
              <c:yMode val="edge"/>
              <c:x val="2.3354564755838639E-2"/>
              <c:y val="0.13454545454545455"/>
            </c:manualLayout>
          </c:layout>
          <c:overlay val="0"/>
          <c:spPr>
            <a:noFill/>
            <a:ln w="25336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7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5408208"/>
        <c:crosses val="autoZero"/>
        <c:crossBetween val="between"/>
      </c:valAx>
      <c:spPr>
        <a:solidFill>
          <a:srgbClr val="C0C0C0"/>
        </a:solidFill>
        <a:ln w="12668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7898089171974525"/>
          <c:y val="0.27636363636363637"/>
          <c:w val="0.11040339702760085"/>
          <c:h val="0.26545454545454544"/>
        </c:manualLayout>
      </c:layout>
      <c:overlay val="0"/>
      <c:spPr>
        <a:solidFill>
          <a:srgbClr val="FFFFFF"/>
        </a:solidFill>
        <a:ln w="25336">
          <a:solidFill>
            <a:srgbClr val="000000"/>
          </a:solidFill>
          <a:prstDash val="solid"/>
        </a:ln>
      </c:spPr>
      <c:txPr>
        <a:bodyPr/>
        <a:lstStyle/>
        <a:p>
          <a:pPr>
            <a:defRPr sz="1097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 w="3167">
      <a:solidFill>
        <a:srgbClr val="000000"/>
      </a:solidFill>
      <a:prstDash val="solid"/>
    </a:ln>
  </c:spPr>
  <c:txPr>
    <a:bodyPr/>
    <a:lstStyle/>
    <a:p>
      <a:pPr>
        <a:defRPr sz="1197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9047619047619047"/>
          <c:y val="9.6000000000000002E-2"/>
          <c:w val="0.66873706004140787"/>
          <c:h val="0.61599999999999999"/>
        </c:manualLayout>
      </c:layout>
      <c:lineChart>
        <c:grouping val="standard"/>
        <c:varyColors val="0"/>
        <c:ser>
          <c:idx val="0"/>
          <c:order val="0"/>
          <c:tx>
            <c:v>1</c:v>
          </c:tx>
          <c:spPr>
            <a:ln w="25373">
              <a:solidFill>
                <a:srgbClr val="000000"/>
              </a:solidFill>
              <a:prstDash val="solid"/>
            </a:ln>
          </c:spPr>
          <c:marker>
            <c:symbol val="diamond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Лист1!$B$1:$B$5</c:f>
              <c:numCache>
                <c:formatCode>\О\с\н\о\в\н\о\й</c:formatCode>
                <c:ptCount val="5"/>
                <c:pt idx="0">
                  <c:v>4.3999999999999997E-2</c:v>
                </c:pt>
                <c:pt idx="1">
                  <c:v>0.186</c:v>
                </c:pt>
                <c:pt idx="2">
                  <c:v>0.39600000000000002</c:v>
                </c:pt>
                <c:pt idx="3">
                  <c:v>1.3</c:v>
                </c:pt>
                <c:pt idx="4">
                  <c:v>2.6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522-4686-90D3-1EED1869C6A9}"/>
            </c:ext>
          </c:extLst>
        </c:ser>
        <c:ser>
          <c:idx val="1"/>
          <c:order val="1"/>
          <c:tx>
            <c:v>2</c:v>
          </c:tx>
          <c:spPr>
            <a:ln w="25373">
              <a:solidFill>
                <a:srgbClr val="000000"/>
              </a:solidFill>
              <a:prstDash val="solid"/>
            </a:ln>
          </c:spPr>
          <c:marker>
            <c:symbol val="square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Лист1!$C$1:$C$5</c:f>
              <c:numCache>
                <c:formatCode>\О\с\н\о\в\н\о\й</c:formatCode>
                <c:ptCount val="5"/>
                <c:pt idx="0">
                  <c:v>0.91</c:v>
                </c:pt>
                <c:pt idx="1">
                  <c:v>2.8</c:v>
                </c:pt>
                <c:pt idx="2">
                  <c:v>5.51</c:v>
                </c:pt>
                <c:pt idx="3">
                  <c:v>8.64</c:v>
                </c:pt>
                <c:pt idx="4">
                  <c:v>12.73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522-4686-90D3-1EED1869C6A9}"/>
            </c:ext>
          </c:extLst>
        </c:ser>
        <c:ser>
          <c:idx val="2"/>
          <c:order val="2"/>
          <c:tx>
            <c:v>3</c:v>
          </c:tx>
          <c:spPr>
            <a:ln w="25373">
              <a:solidFill>
                <a:srgbClr val="000000"/>
              </a:solidFill>
              <a:prstDash val="solid"/>
            </a:ln>
          </c:spPr>
          <c:marker>
            <c:symbol val="triangle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Лист1!$D$1:$D$5</c:f>
              <c:numCache>
                <c:formatCode>\О\с\н\о\в\н\о\й</c:formatCode>
                <c:ptCount val="5"/>
                <c:pt idx="0">
                  <c:v>4.71</c:v>
                </c:pt>
                <c:pt idx="1">
                  <c:v>9.07</c:v>
                </c:pt>
                <c:pt idx="2">
                  <c:v>14.01</c:v>
                </c:pt>
                <c:pt idx="3">
                  <c:v>20.399999999999999</c:v>
                </c:pt>
                <c:pt idx="4">
                  <c:v>26.55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22-4686-90D3-1EED1869C6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5407224"/>
        <c:axId val="1"/>
      </c:lineChart>
      <c:catAx>
        <c:axId val="20540722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99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Относительная погрешность</a:t>
                </a:r>
              </a:p>
            </c:rich>
          </c:tx>
          <c:layout>
            <c:manualLayout>
              <c:xMode val="edge"/>
              <c:yMode val="edge"/>
              <c:x val="0.30020703933747411"/>
              <c:y val="0.85199999999999998"/>
            </c:manualLayout>
          </c:layout>
          <c:overlay val="0"/>
          <c:spPr>
            <a:noFill/>
            <a:ln w="25373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199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Вероятиность ложного брака Рлб %</a:t>
                </a:r>
              </a:p>
            </c:rich>
          </c:tx>
          <c:layout>
            <c:manualLayout>
              <c:xMode val="edge"/>
              <c:yMode val="edge"/>
              <c:x val="2.2774327122153208E-2"/>
              <c:y val="5.6000000000000001E-2"/>
            </c:manualLayout>
          </c:layout>
          <c:overlay val="0"/>
          <c:spPr>
            <a:noFill/>
            <a:ln w="25373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5407224"/>
        <c:crosses val="autoZero"/>
        <c:crossBetween val="between"/>
      </c:valAx>
      <c:spPr>
        <a:solidFill>
          <a:srgbClr val="C0C0C0"/>
        </a:solidFill>
        <a:ln w="12686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7991718426501031"/>
          <c:y val="0.25600000000000001"/>
          <c:w val="0.11180124223602485"/>
          <c:h val="0.29199999999999998"/>
        </c:manualLayout>
      </c:layout>
      <c:overlay val="0"/>
      <c:spPr>
        <a:solidFill>
          <a:srgbClr val="FFFFFF"/>
        </a:solidFill>
        <a:ln w="3172">
          <a:solidFill>
            <a:srgbClr val="000000"/>
          </a:solidFill>
          <a:prstDash val="solid"/>
        </a:ln>
      </c:spPr>
      <c:txPr>
        <a:bodyPr/>
        <a:lstStyle/>
        <a:p>
          <a:pPr>
            <a:defRPr sz="1099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 w="3172">
      <a:solidFill>
        <a:srgbClr val="000000"/>
      </a:solidFill>
      <a:prstDash val="solid"/>
    </a:ln>
  </c:spPr>
  <c:txPr>
    <a:bodyPr/>
    <a:lstStyle/>
    <a:p>
      <a:pPr>
        <a:defRPr sz="1199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21414141414141413"/>
          <c:y val="9.0225563909774431E-2"/>
          <c:w val="0.59393939393939399"/>
          <c:h val="0.63909774436090228"/>
        </c:manualLayout>
      </c:layout>
      <c:lineChart>
        <c:grouping val="standard"/>
        <c:varyColors val="0"/>
        <c:ser>
          <c:idx val="0"/>
          <c:order val="0"/>
          <c:spPr>
            <a:ln w="12679">
              <a:solidFill>
                <a:srgbClr val="000080"/>
              </a:solidFill>
              <a:prstDash val="solid"/>
            </a:ln>
          </c:spPr>
          <c:marker>
            <c:symbol val="diamond"/>
            <c:size val="4"/>
            <c:spPr>
              <a:solidFill>
                <a:srgbClr val="00008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Лист1!$F$1:$F$5</c:f>
              <c:numCache>
                <c:formatCode>0,000</c:formatCode>
                <c:ptCount val="5"/>
                <c:pt idx="0">
                  <c:v>0.152</c:v>
                </c:pt>
                <c:pt idx="1">
                  <c:v>0.156</c:v>
                </c:pt>
                <c:pt idx="2">
                  <c:v>0.188</c:v>
                </c:pt>
                <c:pt idx="3">
                  <c:v>0.193</c:v>
                </c:pt>
                <c:pt idx="4">
                  <c:v>0.214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76A-4D51-89C0-5376CB2D7990}"/>
            </c:ext>
          </c:extLst>
        </c:ser>
        <c:ser>
          <c:idx val="1"/>
          <c:order val="1"/>
          <c:spPr>
            <a:ln w="25357">
              <a:solidFill>
                <a:srgbClr val="000000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Лист1!$G$1:$G$5</c:f>
              <c:numCache>
                <c:formatCode>0,000</c:formatCode>
                <c:ptCount val="5"/>
                <c:pt idx="0">
                  <c:v>1.83</c:v>
                </c:pt>
                <c:pt idx="1">
                  <c:v>2.4300000000000002</c:v>
                </c:pt>
                <c:pt idx="2">
                  <c:v>2.8</c:v>
                </c:pt>
                <c:pt idx="3">
                  <c:v>3.0419999999999998</c:v>
                </c:pt>
                <c:pt idx="4">
                  <c:v>3.25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76A-4D51-89C0-5376CB2D7990}"/>
            </c:ext>
          </c:extLst>
        </c:ser>
        <c:ser>
          <c:idx val="2"/>
          <c:order val="2"/>
          <c:spPr>
            <a:ln w="25357">
              <a:solidFill>
                <a:srgbClr val="000000"/>
              </a:solidFill>
              <a:prstDash val="solid"/>
            </a:ln>
          </c:spPr>
          <c:marker>
            <c:symbol val="triangl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Лист1!$H$1:$H$5</c:f>
              <c:numCache>
                <c:formatCode>0,000</c:formatCode>
                <c:ptCount val="5"/>
                <c:pt idx="0">
                  <c:v>4.42</c:v>
                </c:pt>
                <c:pt idx="1">
                  <c:v>7.5</c:v>
                </c:pt>
                <c:pt idx="2">
                  <c:v>10.6</c:v>
                </c:pt>
                <c:pt idx="3">
                  <c:v>12.19</c:v>
                </c:pt>
                <c:pt idx="4">
                  <c:v>12.36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6A-4D51-89C0-5376CB2D79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5404272"/>
        <c:axId val="1"/>
      </c:lineChart>
      <c:catAx>
        <c:axId val="2054042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98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Относительная погрешность</a:t>
                </a:r>
              </a:p>
            </c:rich>
          </c:tx>
          <c:layout>
            <c:manualLayout>
              <c:xMode val="edge"/>
              <c:yMode val="edge"/>
              <c:x val="0.29292929292929293"/>
              <c:y val="0.86090225563909772"/>
            </c:manualLayout>
          </c:layout>
          <c:overlay val="0"/>
          <c:spPr>
            <a:noFill/>
            <a:ln w="25357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8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0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0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198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вероятность Рнб %</a:t>
                </a:r>
              </a:p>
            </c:rich>
          </c:tx>
          <c:layout>
            <c:manualLayout>
              <c:xMode val="edge"/>
              <c:yMode val="edge"/>
              <c:x val="2.2222222222222223E-2"/>
              <c:y val="9.7744360902255634E-2"/>
            </c:manualLayout>
          </c:layout>
          <c:overlay val="0"/>
          <c:spPr>
            <a:noFill/>
            <a:ln w="25357">
              <a:noFill/>
            </a:ln>
          </c:spPr>
        </c:title>
        <c:numFmt formatCode="0,000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8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5404272"/>
        <c:crosses val="autoZero"/>
        <c:crossBetween val="between"/>
      </c:valAx>
      <c:spPr>
        <a:noFill/>
        <a:ln w="25357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2828282828282829"/>
          <c:y val="0.27067669172932329"/>
          <c:w val="0.16363636363636364"/>
          <c:h val="0.27443609022556392"/>
        </c:manualLayout>
      </c:layout>
      <c:overlay val="0"/>
      <c:spPr>
        <a:solidFill>
          <a:srgbClr val="FFFFFF"/>
        </a:solidFill>
        <a:ln w="3170">
          <a:solidFill>
            <a:srgbClr val="000000"/>
          </a:solidFill>
          <a:prstDash val="solid"/>
        </a:ln>
      </c:spPr>
      <c:txPr>
        <a:bodyPr/>
        <a:lstStyle/>
        <a:p>
          <a:pPr>
            <a:defRPr sz="1098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 w="3170">
      <a:solidFill>
        <a:srgbClr val="000000"/>
      </a:solidFill>
      <a:prstDash val="solid"/>
    </a:ln>
  </c:spPr>
  <c:txPr>
    <a:bodyPr/>
    <a:lstStyle/>
    <a:p>
      <a:pPr>
        <a:defRPr sz="1198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559322033898305"/>
          <c:y val="9.9173553719008267E-2"/>
          <c:w val="0.68173258003766479"/>
          <c:h val="0.60330578512396693"/>
        </c:manualLayout>
      </c:layout>
      <c:lineChart>
        <c:grouping val="standard"/>
        <c:varyColors val="0"/>
        <c:ser>
          <c:idx val="0"/>
          <c:order val="0"/>
          <c:spPr>
            <a:ln w="25387">
              <a:solidFill>
                <a:srgbClr val="000000"/>
              </a:solidFill>
              <a:prstDash val="solid"/>
            </a:ln>
          </c:spPr>
          <c:marker>
            <c:symbol val="diamond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Лист1!$B$1:$B$5</c:f>
              <c:numCache>
                <c:formatCode>\О\с\н\о\в\н\о\й</c:formatCode>
                <c:ptCount val="5"/>
                <c:pt idx="0">
                  <c:v>0.34</c:v>
                </c:pt>
                <c:pt idx="1">
                  <c:v>1.42</c:v>
                </c:pt>
                <c:pt idx="2">
                  <c:v>3.1</c:v>
                </c:pt>
                <c:pt idx="3">
                  <c:v>4.38</c:v>
                </c:pt>
                <c:pt idx="4">
                  <c:v>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67E-43CA-835C-413160EF6B48}"/>
            </c:ext>
          </c:extLst>
        </c:ser>
        <c:ser>
          <c:idx val="1"/>
          <c:order val="1"/>
          <c:spPr>
            <a:ln w="25387">
              <a:solidFill>
                <a:srgbClr val="000000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Лист1!$C$1:$C$5</c:f>
              <c:numCache>
                <c:formatCode>\О\с\н\о\в\н\о\й</c:formatCode>
                <c:ptCount val="5"/>
                <c:pt idx="0">
                  <c:v>1.02</c:v>
                </c:pt>
                <c:pt idx="1">
                  <c:v>3.96</c:v>
                </c:pt>
                <c:pt idx="2">
                  <c:v>5.7</c:v>
                </c:pt>
                <c:pt idx="3">
                  <c:v>9.1199999999999992</c:v>
                </c:pt>
                <c:pt idx="4">
                  <c:v>14.42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67E-43CA-835C-413160EF6B48}"/>
            </c:ext>
          </c:extLst>
        </c:ser>
        <c:ser>
          <c:idx val="2"/>
          <c:order val="2"/>
          <c:spPr>
            <a:ln w="25387">
              <a:solidFill>
                <a:srgbClr val="000000"/>
              </a:solidFill>
              <a:prstDash val="solid"/>
            </a:ln>
          </c:spPr>
          <c:marker>
            <c:symbol val="triangl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Лист1!$D$1:$D$5</c:f>
              <c:numCache>
                <c:formatCode>\О\с\н\о\в\н\о\й</c:formatCode>
                <c:ptCount val="5"/>
                <c:pt idx="0">
                  <c:v>2.54</c:v>
                </c:pt>
                <c:pt idx="1">
                  <c:v>5.78</c:v>
                </c:pt>
                <c:pt idx="2">
                  <c:v>10.8</c:v>
                </c:pt>
                <c:pt idx="3">
                  <c:v>14.48</c:v>
                </c:pt>
                <c:pt idx="4">
                  <c:v>16.98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67E-43CA-835C-413160EF6B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5405256"/>
        <c:axId val="1"/>
      </c:lineChart>
      <c:catAx>
        <c:axId val="20540525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99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Относительная погрешность</a:t>
                </a:r>
              </a:p>
            </c:rich>
          </c:tx>
          <c:layout>
            <c:manualLayout>
              <c:xMode val="edge"/>
              <c:yMode val="edge"/>
              <c:x val="0.27306967984934089"/>
              <c:y val="0.84710743801652888"/>
            </c:manualLayout>
          </c:layout>
          <c:overlay val="0"/>
          <c:spPr>
            <a:noFill/>
            <a:ln w="25387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3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199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Вероятность Рлб %</a:t>
                </a:r>
              </a:p>
            </c:rich>
          </c:tx>
          <c:layout>
            <c:manualLayout>
              <c:xMode val="edge"/>
              <c:yMode val="edge"/>
              <c:x val="2.0715630885122412E-2"/>
              <c:y val="8.6776859504132234E-2"/>
            </c:manualLayout>
          </c:layout>
          <c:overlay val="0"/>
          <c:spPr>
            <a:noFill/>
            <a:ln w="25387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5405256"/>
        <c:crosses val="autoZero"/>
        <c:crossBetween val="between"/>
      </c:valAx>
      <c:spPr>
        <a:solidFill>
          <a:srgbClr val="C0C0C0"/>
        </a:solidFill>
        <a:ln w="12693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3615819209039544"/>
          <c:y val="0.24793388429752067"/>
          <c:w val="0.15630885122410546"/>
          <c:h val="0.30165289256198347"/>
        </c:manualLayout>
      </c:layout>
      <c:overlay val="0"/>
      <c:spPr>
        <a:solidFill>
          <a:srgbClr val="FFFFFF"/>
        </a:solidFill>
        <a:ln w="3173">
          <a:solidFill>
            <a:srgbClr val="000000"/>
          </a:solidFill>
          <a:prstDash val="solid"/>
        </a:ln>
      </c:spPr>
      <c:txPr>
        <a:bodyPr/>
        <a:lstStyle/>
        <a:p>
          <a:pPr>
            <a:defRPr sz="1099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 w="3173">
      <a:solidFill>
        <a:srgbClr val="000000"/>
      </a:solidFill>
      <a:prstDash val="solid"/>
    </a:ln>
  </c:spPr>
  <c:txPr>
    <a:bodyPr/>
    <a:lstStyle/>
    <a:p>
      <a:pPr>
        <a:defRPr sz="1199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3535353535353536"/>
          <c:y val="0.1050228310502283"/>
          <c:w val="0.68080808080808086"/>
          <c:h val="0.57534246575342463"/>
        </c:manualLayout>
      </c:layout>
      <c:lineChart>
        <c:grouping val="standard"/>
        <c:varyColors val="0"/>
        <c:ser>
          <c:idx val="0"/>
          <c:order val="0"/>
          <c:spPr>
            <a:ln w="25396">
              <a:solidFill>
                <a:srgbClr val="000000"/>
              </a:solidFill>
              <a:prstDash val="solid"/>
            </a:ln>
          </c:spPr>
          <c:marker>
            <c:symbol val="diamond"/>
            <c:size val="6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Лист1!$B$1:$B$5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0.42</c:v>
                </c:pt>
                <c:pt idx="2">
                  <c:v>0.72</c:v>
                </c:pt>
                <c:pt idx="3">
                  <c:v>0.64</c:v>
                </c:pt>
                <c:pt idx="4">
                  <c:v>0.7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D41-4C32-9248-8A0257BC2B70}"/>
            </c:ext>
          </c:extLst>
        </c:ser>
        <c:ser>
          <c:idx val="1"/>
          <c:order val="1"/>
          <c:spPr>
            <a:ln w="25396">
              <a:solidFill>
                <a:srgbClr val="000000"/>
              </a:solidFill>
              <a:prstDash val="solid"/>
            </a:ln>
          </c:spPr>
          <c:marker>
            <c:symbol val="squar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Лист1!$C$1:$C$5</c:f>
              <c:numCache>
                <c:formatCode>\О\с\н\о\в\н\о\й</c:formatCode>
                <c:ptCount val="5"/>
                <c:pt idx="0">
                  <c:v>1.84</c:v>
                </c:pt>
                <c:pt idx="1">
                  <c:v>3.94</c:v>
                </c:pt>
                <c:pt idx="2">
                  <c:v>3.67</c:v>
                </c:pt>
                <c:pt idx="3">
                  <c:v>4.28</c:v>
                </c:pt>
                <c:pt idx="4">
                  <c:v>5.0199999999999996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D41-4C32-9248-8A0257BC2B70}"/>
            </c:ext>
          </c:extLst>
        </c:ser>
        <c:ser>
          <c:idx val="2"/>
          <c:order val="2"/>
          <c:spPr>
            <a:ln w="25396">
              <a:solidFill>
                <a:srgbClr val="000000"/>
              </a:solidFill>
              <a:prstDash val="solid"/>
            </a:ln>
          </c:spPr>
          <c:marker>
            <c:symbol val="triangle"/>
            <c:size val="4"/>
            <c:spPr>
              <a:solidFill>
                <a:srgbClr val="000000"/>
              </a:solidFill>
              <a:ln>
                <a:solidFill>
                  <a:srgbClr val="000000"/>
                </a:solidFill>
                <a:prstDash val="solid"/>
              </a:ln>
            </c:spPr>
          </c:marker>
          <c:cat>
            <c:numRef>
              <c:f>Лист1!$A$1:$A$5</c:f>
              <c:numCache>
                <c:formatCode>\О\с\н\о\в\н\о\й</c:formatCode>
                <c:ptCount val="5"/>
                <c:pt idx="0">
                  <c:v>0.2</c:v>
                </c:pt>
                <c:pt idx="1">
                  <c:v>0.4</c:v>
                </c:pt>
                <c:pt idx="2">
                  <c:v>0.6</c:v>
                </c:pt>
                <c:pt idx="3">
                  <c:v>0.8</c:v>
                </c:pt>
                <c:pt idx="4">
                  <c:v>1</c:v>
                </c:pt>
              </c:numCache>
            </c:numRef>
          </c:cat>
          <c:val>
            <c:numRef>
              <c:f>Лист1!$D$1:$D$5</c:f>
              <c:numCache>
                <c:formatCode>\О\с\н\о\в\н\о\й</c:formatCode>
                <c:ptCount val="5"/>
                <c:pt idx="0">
                  <c:v>3.5</c:v>
                </c:pt>
                <c:pt idx="1">
                  <c:v>5.78</c:v>
                </c:pt>
                <c:pt idx="2">
                  <c:v>9.52</c:v>
                </c:pt>
                <c:pt idx="3">
                  <c:v>11.76</c:v>
                </c:pt>
                <c:pt idx="4">
                  <c:v>12.34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D41-4C32-9248-8A0257BC2B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05058632"/>
        <c:axId val="1"/>
      </c:lineChart>
      <c:catAx>
        <c:axId val="2050586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5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Относительная погрешность</a:t>
                </a:r>
              </a:p>
            </c:rich>
          </c:tx>
          <c:layout>
            <c:manualLayout>
              <c:xMode val="edge"/>
              <c:yMode val="edge"/>
              <c:x val="0.27070707070707073"/>
              <c:y val="0.83561643835616439"/>
            </c:manualLayout>
          </c:layout>
          <c:overlay val="0"/>
          <c:spPr>
            <a:noFill/>
            <a:ln w="25396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5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15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Вероятность Рнб %</a:t>
                </a:r>
              </a:p>
            </c:rich>
          </c:tx>
          <c:layout>
            <c:manualLayout>
              <c:xMode val="edge"/>
              <c:yMode val="edge"/>
              <c:x val="2.2222222222222223E-2"/>
              <c:y val="6.8493150684931503E-2"/>
            </c:manualLayout>
          </c:layout>
          <c:overlay val="0"/>
          <c:spPr>
            <a:noFill/>
            <a:ln w="25396">
              <a:noFill/>
            </a:ln>
          </c:spPr>
        </c:title>
        <c:numFmt formatCode="\О\с\н\о\в\н\о\й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5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205058632"/>
        <c:crosses val="autoZero"/>
        <c:crossBetween val="between"/>
      </c:valAx>
      <c:spPr>
        <a:solidFill>
          <a:srgbClr val="C0C0C0"/>
        </a:solidFill>
        <a:ln w="12698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3636363636363631"/>
          <c:y val="0.22831050228310501"/>
          <c:w val="0.15555555555555556"/>
          <c:h val="0.31963470319634701"/>
        </c:manualLayout>
      </c:layout>
      <c:overlay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1055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rgbClr val="FFFFFF"/>
    </a:solidFill>
    <a:ln w="3175">
      <a:solidFill>
        <a:srgbClr val="000000"/>
      </a:solidFill>
      <a:prstDash val="solid"/>
    </a:ln>
  </c:spPr>
  <c:txPr>
    <a:bodyPr/>
    <a:lstStyle/>
    <a:p>
      <a:pPr>
        <a:defRPr sz="1150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1099</Words>
  <Characters>6269</Characters>
  <Application>Microsoft Office Word</Application>
  <DocSecurity>0</DocSecurity>
  <Lines>52</Lines>
  <Paragraphs>14</Paragraphs>
  <ScaleCrop>false</ScaleCrop>
  <Company/>
  <LinksUpToDate>false</LinksUpToDate>
  <CharactersWithSpaces>7354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2021-11-05T08:28:00Z</dcterms:created>
  <dcterms:modified xsi:type="dcterms:W3CDTF">2021-11-05T08:28:00Z</dcterms:modified>
</cp:coreProperties>
</file>